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CEDEB" w14:textId="12E1D270" w:rsidR="00AF7F29" w:rsidRDefault="00CF19FD" w:rsidP="00AF7F29">
      <w:pPr>
        <w:tabs>
          <w:tab w:val="left" w:pos="4630"/>
        </w:tabs>
        <w:ind w:right="140"/>
      </w:pPr>
      <w:bookmarkStart w:id="0" w:name="_Hlk128503515"/>
      <w:bookmarkStart w:id="1" w:name="_Hlk128502992"/>
      <w:bookmarkEnd w:id="0"/>
      <w:bookmarkEnd w:id="1"/>
      <w:r>
        <w:tab/>
      </w:r>
      <w:r w:rsidR="006555C8">
        <w:rPr>
          <w:noProof/>
          <w:lang w:eastAsia="ru-RU"/>
        </w:rPr>
        <w:drawing>
          <wp:inline distT="0" distB="0" distL="0" distR="0" wp14:anchorId="1DB5F057" wp14:editId="2E79D4B4">
            <wp:extent cx="6059805" cy="18167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CE97BB" w14:textId="39D428D5" w:rsidR="00F32BDE" w:rsidRDefault="00F32BDE" w:rsidP="00321BD5">
      <w:pPr>
        <w:ind w:right="-1"/>
        <w:jc w:val="both"/>
        <w:rPr>
          <w:rFonts w:ascii="Times New Roman" w:hAnsi="Times New Roman" w:cs="Times New Roman"/>
          <w:b/>
          <w:bCs/>
        </w:rPr>
      </w:pPr>
    </w:p>
    <w:p w14:paraId="3D280CD7" w14:textId="5D2135F0" w:rsidR="007A525D" w:rsidRDefault="007A525D" w:rsidP="007A525D">
      <w:pPr>
        <w:ind w:right="-1"/>
        <w:jc w:val="center"/>
        <w:rPr>
          <w:rFonts w:ascii="Times New Roman" w:hAnsi="Times New Roman" w:cs="Times New Roman"/>
          <w:b/>
          <w:bCs/>
        </w:rPr>
      </w:pPr>
      <w:r w:rsidRPr="007A525D">
        <w:rPr>
          <w:rFonts w:ascii="Times New Roman" w:hAnsi="Times New Roman" w:cs="Times New Roman"/>
          <w:b/>
          <w:bCs/>
        </w:rPr>
        <w:t>УВАЖАЕМЫЕ КОЛЛЕГИ!</w:t>
      </w:r>
    </w:p>
    <w:p w14:paraId="34BA2185" w14:textId="77777777" w:rsidR="00F32BDE" w:rsidRPr="001B2568" w:rsidRDefault="00F32BDE" w:rsidP="00F32BDE">
      <w:pPr>
        <w:spacing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 xml:space="preserve">Предлагаем Вам </w:t>
      </w:r>
      <w:r w:rsidRPr="001B2568">
        <w:rPr>
          <w:rFonts w:ascii="Times New Roman" w:hAnsi="Times New Roman" w:cs="Times New Roman"/>
          <w:b/>
          <w:bCs/>
          <w:sz w:val="25"/>
          <w:szCs w:val="25"/>
        </w:rPr>
        <w:t xml:space="preserve">рассмотреть возможность участия в весенней сессии </w:t>
      </w:r>
      <w:r w:rsidRPr="001B2568">
        <w:rPr>
          <w:rFonts w:ascii="Times New Roman" w:hAnsi="Times New Roman" w:cs="Times New Roman"/>
          <w:sz w:val="25"/>
          <w:szCs w:val="25"/>
        </w:rPr>
        <w:t>представителей заказчика и исполнителей государственного оборонного заказа (далее – ГОЗ) на тему:</w:t>
      </w:r>
    </w:p>
    <w:p w14:paraId="63A4BCFD" w14:textId="77777777" w:rsidR="00F32BDE" w:rsidRPr="001B2568" w:rsidRDefault="00F32BDE" w:rsidP="00F32BDE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1B2568">
        <w:rPr>
          <w:rFonts w:ascii="Times New Roman" w:hAnsi="Times New Roman" w:cs="Times New Roman"/>
          <w:b/>
          <w:bCs/>
          <w:sz w:val="25"/>
          <w:szCs w:val="25"/>
        </w:rPr>
        <w:t>«Жизненный цикл ГОЗ и комплаенс-контроль в организациях оборонно-промышленного комплекса России на всех стадиях от размещения заданий и заключения контрактов до поставки продукции и окончательных расчетов».</w:t>
      </w:r>
    </w:p>
    <w:p w14:paraId="41F30F4D" w14:textId="77777777" w:rsidR="00F32BDE" w:rsidRPr="001B2568" w:rsidRDefault="00F32BDE" w:rsidP="00F32BDE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</w:pPr>
      <w:r w:rsidRPr="001B256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Дата проведения: </w:t>
      </w:r>
      <w:r w:rsidRPr="001B256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17-19 апреля 2024 года.</w:t>
      </w:r>
      <w:r w:rsidRPr="001B256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Мероприятие состоится по адресу: г. Москва, Чистопрудный бульвар, д.5, </w:t>
      </w:r>
      <w:r w:rsidRPr="001B256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Деловой центр</w:t>
      </w:r>
      <w:r w:rsidRPr="001B256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1B256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Торгово-промышленной палаты Российской Федерации</w:t>
      </w:r>
      <w:r w:rsidRPr="001B256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 Для удобства специалистов из регионов </w:t>
      </w:r>
      <w:r w:rsidRPr="001B256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параллельно</w:t>
      </w:r>
      <w:r w:rsidRPr="001B256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будет организована </w:t>
      </w:r>
      <w:r w:rsidRPr="001B256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онлайн-трансляция.</w:t>
      </w:r>
    </w:p>
    <w:p w14:paraId="249ECB33" w14:textId="77777777" w:rsidR="00F32BDE" w:rsidRPr="001B2568" w:rsidRDefault="00F32BDE" w:rsidP="00F32BD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1B2568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t xml:space="preserve">Модератор сессии: Н.А. Ермолаев, </w:t>
      </w:r>
      <w:r w:rsidRPr="001B256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практик в области государственного регулирования цен на продукцию, поставляемую по ГОЗ, представитель предприятия крупнейшего концерна оборонно-промышленного комплекса России (далее – ОПК), экс-начальник 5 отдела Управления авиационной, ракетно-космической и атомной промышленности ФАС России.</w:t>
      </w:r>
    </w:p>
    <w:p w14:paraId="7AE62F47" w14:textId="77777777" w:rsidR="00F32BDE" w:rsidRPr="001B2568" w:rsidRDefault="00F32BDE" w:rsidP="00F32BD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1B2568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t>В экспертном составе</w:t>
      </w:r>
      <w:r w:rsidRPr="001B256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: </w:t>
      </w:r>
      <w:r w:rsidRPr="001B2568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t>Р.Д. Шацкий</w:t>
      </w:r>
      <w:r w:rsidRPr="001B256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, заместитель директора Департамента контрактно-договорной работы Госкорпорации «Роскосмос», эксперт в области контрактно-договорной работы в сфере закупок для государственных нужд и ГОЗ, экс-работник ФАС России и Минобороны России; </w:t>
      </w:r>
      <w:r w:rsidRPr="001B2568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t>А.Е. Палкин</w:t>
      </w:r>
      <w:r w:rsidRPr="001B256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, начальник отдела методологии ценообразования и ВВСТ Департамента ОПК Минпромторга России; </w:t>
      </w:r>
      <w:r w:rsidRPr="001B2568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t>К.С. Яромолинская,</w:t>
      </w:r>
      <w:r w:rsidRPr="001B256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руководитель планово-экономического отдела ведущей прибыльной организации ОПК; </w:t>
      </w:r>
      <w:r w:rsidRPr="001B2568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t>И.А. Никитин,</w:t>
      </w:r>
      <w:r w:rsidRPr="001B256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начальник отдела Управления контроля ракетно-космической, атомной промышленности и авиастроения ФАС России. </w:t>
      </w:r>
    </w:p>
    <w:p w14:paraId="6BB0A922" w14:textId="77777777" w:rsidR="00F32BDE" w:rsidRPr="001B2568" w:rsidRDefault="00F32BDE" w:rsidP="00F32BD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1B2568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t>Первая часть весенней сессии</w:t>
      </w:r>
      <w:r w:rsidRPr="001B256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1B2568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t>(подготовительная)</w:t>
      </w:r>
      <w:r w:rsidRPr="001B256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направлена на систематизацию и закрепление знаний о ГОЗ. К участию в ней приглашаются менее опытные специалисты ОПК, которым совместно с экспертами предстоит закрепить устоявшиеся термины и определения, проследить взаимосвязь нормативно-правовых актов и процессов, побывать в роли поставщика и заказчика продукции, а также разобраться в основных принципах, которые помогут избежать ошибок на работе. </w:t>
      </w:r>
    </w:p>
    <w:p w14:paraId="73555E62" w14:textId="77777777" w:rsidR="00F32BDE" w:rsidRPr="001B2568" w:rsidRDefault="00F32BDE" w:rsidP="00F32BD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</w:p>
    <w:p w14:paraId="2D12B822" w14:textId="77777777" w:rsidR="00F32BDE" w:rsidRPr="001B2568" w:rsidRDefault="00F32BDE" w:rsidP="00F32BD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1B2568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lastRenderedPageBreak/>
        <w:t xml:space="preserve">Во второй части весенней сессии (основной) </w:t>
      </w:r>
      <w:r w:rsidRPr="001B256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акцент будет сделан на контрактации с учетом обязательных и новых требований законодательства, ценообразовании и обосновании затрат, выстраивании эффективного взаимодействия участников процесса и структурных подразделений внутри организации ОПК, а также правовом инструментарии, способствующем снижению рисков при выполнении заданий по ГОЗ.</w:t>
      </w:r>
    </w:p>
    <w:p w14:paraId="422EC4CC" w14:textId="77777777" w:rsidR="00F32BDE" w:rsidRPr="001B2568" w:rsidRDefault="00F32BDE" w:rsidP="00F32BD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1B2568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t>В конце весенней сессии запланирована итоговая дискуссия</w:t>
      </w:r>
      <w:r w:rsidRPr="001B256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, в рамках которой участникам будет предложено провести корреляцию между требованиями законодательства о ГОЗ и системой комплаенс-контроля в их организациях, что поможет в дальнейшем более оперативно и эффективно реагировать на изменения и риски, улучшая данную систему.</w:t>
      </w:r>
    </w:p>
    <w:p w14:paraId="174094C9" w14:textId="77777777" w:rsidR="00F32BDE" w:rsidRPr="001B2568" w:rsidRDefault="00F32BDE" w:rsidP="00F32BDE">
      <w:pPr>
        <w:spacing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>ПРОГРАММА МЕРОПРИЯТИЯ:*</w:t>
      </w:r>
    </w:p>
    <w:p w14:paraId="2398B239" w14:textId="68654F53" w:rsidR="00F32BDE" w:rsidRPr="007A525D" w:rsidRDefault="00F32BDE" w:rsidP="00F32BDE">
      <w:pPr>
        <w:spacing w:after="0" w:line="276" w:lineRule="auto"/>
        <w:ind w:left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A525D">
        <w:rPr>
          <w:rFonts w:ascii="Times New Roman" w:hAnsi="Times New Roman" w:cs="Times New Roman"/>
          <w:b/>
          <w:sz w:val="25"/>
          <w:szCs w:val="25"/>
        </w:rPr>
        <w:t>ЧАСТЬ 1</w:t>
      </w:r>
      <w:r w:rsidRPr="007A525D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7A525D">
        <w:rPr>
          <w:rFonts w:ascii="Times New Roman" w:hAnsi="Times New Roman" w:cs="Times New Roman"/>
          <w:b/>
          <w:sz w:val="25"/>
          <w:szCs w:val="25"/>
        </w:rPr>
        <w:t>(17 АПРЕЛЯ 2024</w:t>
      </w:r>
      <w:r w:rsidR="007A525D" w:rsidRPr="007A525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7A525D">
        <w:rPr>
          <w:rFonts w:ascii="Times New Roman" w:hAnsi="Times New Roman" w:cs="Times New Roman"/>
          <w:b/>
          <w:sz w:val="25"/>
          <w:szCs w:val="25"/>
        </w:rPr>
        <w:t>г., С 10:00 ДО 15:30 МСК). ПОДГОТОВИТЕЛЬНАЯ.</w:t>
      </w:r>
    </w:p>
    <w:p w14:paraId="11A11F63" w14:textId="77777777" w:rsidR="007A525D" w:rsidRPr="001B2568" w:rsidRDefault="007A525D" w:rsidP="00F32BDE">
      <w:pPr>
        <w:spacing w:after="0" w:line="276" w:lineRule="auto"/>
        <w:ind w:left="567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14:paraId="33F9E7F6" w14:textId="77777777" w:rsidR="00F32BDE" w:rsidRPr="001B2568" w:rsidRDefault="00F32BDE" w:rsidP="00F32BDE">
      <w:pPr>
        <w:spacing w:after="0" w:line="276" w:lineRule="auto"/>
        <w:ind w:left="567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1B2568">
        <w:rPr>
          <w:rFonts w:ascii="Times New Roman" w:hAnsi="Times New Roman" w:cs="Times New Roman"/>
          <w:b/>
          <w:bCs/>
          <w:sz w:val="25"/>
          <w:szCs w:val="25"/>
        </w:rPr>
        <w:t>ЖИЗНЕННЫЙ ЦИКЛ ГОЗ: ОБЗОР НОРМАТИВНО-ПРАВОВОЙ БАЗЫ, СТРУКТУРИРОВАНИЕ И ЗАКРЕПЛЕНИЕ ТЕОРЕТИЧЕСКИХ ЗНАНИЙ И ОБЩИХ ПОДХОДОВ К ПОЭТАПНОЙ РЕАЛИЗАЦИИ ЗАДАНИЙ ПО ГОЗ.</w:t>
      </w:r>
    </w:p>
    <w:p w14:paraId="15448523" w14:textId="77777777" w:rsidR="00F32BDE" w:rsidRPr="001B2568" w:rsidRDefault="00F32BDE" w:rsidP="00F32BDE">
      <w:pPr>
        <w:spacing w:after="0" w:line="276" w:lineRule="auto"/>
        <w:ind w:left="567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>Н.А. Ермолаев, К.С. Ярмолинская</w:t>
      </w:r>
    </w:p>
    <w:p w14:paraId="00B44F1C" w14:textId="77777777" w:rsidR="00F32BDE" w:rsidRPr="001B2568" w:rsidRDefault="00F32BDE" w:rsidP="00F32BDE">
      <w:pPr>
        <w:spacing w:after="0" w:line="276" w:lineRule="auto"/>
        <w:ind w:left="567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14:paraId="204B8BE9" w14:textId="77777777" w:rsidR="00F32BDE" w:rsidRPr="001B2568" w:rsidRDefault="00F32BDE" w:rsidP="00F32BDE">
      <w:pPr>
        <w:pStyle w:val="mail-message-1"/>
        <w:numPr>
          <w:ilvl w:val="1"/>
          <w:numId w:val="36"/>
        </w:numPr>
        <w:shd w:val="clear" w:color="auto" w:fill="FFFFFF"/>
        <w:spacing w:before="0" w:beforeAutospacing="0" w:after="0" w:afterAutospacing="0" w:line="276" w:lineRule="auto"/>
        <w:ind w:left="1134" w:hanging="567"/>
        <w:jc w:val="both"/>
        <w:rPr>
          <w:b/>
          <w:sz w:val="25"/>
          <w:szCs w:val="25"/>
        </w:rPr>
      </w:pPr>
      <w:r w:rsidRPr="001B2568">
        <w:rPr>
          <w:b/>
          <w:sz w:val="25"/>
          <w:szCs w:val="25"/>
        </w:rPr>
        <w:t xml:space="preserve">Терминология, нормативно-правовое регулирование, предконтрактная работа. </w:t>
      </w:r>
    </w:p>
    <w:p w14:paraId="0D433FF7" w14:textId="77777777" w:rsidR="00F32BDE" w:rsidRPr="001B2568" w:rsidRDefault="00F32BDE" w:rsidP="00F32BDE">
      <w:pPr>
        <w:pStyle w:val="mail-message-1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ind w:left="1701"/>
        <w:jc w:val="both"/>
        <w:rPr>
          <w:bCs/>
          <w:sz w:val="25"/>
          <w:szCs w:val="25"/>
        </w:rPr>
      </w:pPr>
      <w:r w:rsidRPr="001B2568">
        <w:rPr>
          <w:bCs/>
          <w:sz w:val="25"/>
          <w:szCs w:val="25"/>
        </w:rPr>
        <w:t>Иерархия нормативно-правовых актов в сфере ГОЗ.</w:t>
      </w:r>
    </w:p>
    <w:p w14:paraId="67F9AF4C" w14:textId="77777777" w:rsidR="00F32BDE" w:rsidRPr="001B2568" w:rsidRDefault="00F32BDE" w:rsidP="00F32BDE">
      <w:pPr>
        <w:pStyle w:val="mail-message-1"/>
        <w:numPr>
          <w:ilvl w:val="0"/>
          <w:numId w:val="35"/>
        </w:numPr>
        <w:shd w:val="clear" w:color="auto" w:fill="FFFFFF"/>
        <w:spacing w:after="0" w:afterAutospacing="0" w:line="276" w:lineRule="auto"/>
        <w:ind w:left="1701"/>
        <w:jc w:val="both"/>
        <w:rPr>
          <w:bCs/>
          <w:sz w:val="25"/>
          <w:szCs w:val="25"/>
        </w:rPr>
      </w:pPr>
      <w:r w:rsidRPr="001B2568">
        <w:rPr>
          <w:bCs/>
          <w:sz w:val="25"/>
          <w:szCs w:val="25"/>
        </w:rPr>
        <w:t>Этапы жизненного цикла ГОЗ от размещения заданий до поставки продукции и окончательных расчетов.</w:t>
      </w:r>
    </w:p>
    <w:p w14:paraId="70C6E085" w14:textId="77777777" w:rsidR="00F32BDE" w:rsidRPr="001B2568" w:rsidRDefault="00F32BDE" w:rsidP="00F32BDE">
      <w:pPr>
        <w:pStyle w:val="mail-message-1"/>
        <w:numPr>
          <w:ilvl w:val="0"/>
          <w:numId w:val="35"/>
        </w:numPr>
        <w:shd w:val="clear" w:color="auto" w:fill="FFFFFF"/>
        <w:spacing w:line="276" w:lineRule="auto"/>
        <w:ind w:left="1701"/>
        <w:jc w:val="both"/>
        <w:rPr>
          <w:bCs/>
          <w:sz w:val="25"/>
          <w:szCs w:val="25"/>
        </w:rPr>
      </w:pPr>
      <w:r w:rsidRPr="001B2568">
        <w:rPr>
          <w:bCs/>
          <w:sz w:val="25"/>
          <w:szCs w:val="25"/>
        </w:rPr>
        <w:t>Федеральный закон от 29.12.2012г. №275-ФЗ «О государственном оборонном заказе» (далее по тексту - №275-ФЗ): основные положения, права и обязанности головного исполнителя, а также возможности и ограничения, связанные с исполнение государственных контрактов, контрактов по ГОЗ (далее – контрактов).</w:t>
      </w:r>
    </w:p>
    <w:p w14:paraId="18A031AD" w14:textId="77777777" w:rsidR="00F32BDE" w:rsidRPr="001B2568" w:rsidRDefault="00F32BDE" w:rsidP="00F32BDE">
      <w:pPr>
        <w:pStyle w:val="mail-message-1"/>
        <w:numPr>
          <w:ilvl w:val="0"/>
          <w:numId w:val="35"/>
        </w:numPr>
        <w:shd w:val="clear" w:color="auto" w:fill="FFFFFF"/>
        <w:spacing w:line="276" w:lineRule="auto"/>
        <w:ind w:left="1701"/>
        <w:jc w:val="both"/>
        <w:rPr>
          <w:bCs/>
          <w:sz w:val="25"/>
          <w:szCs w:val="25"/>
        </w:rPr>
      </w:pPr>
      <w:r w:rsidRPr="001B2568">
        <w:rPr>
          <w:bCs/>
          <w:sz w:val="25"/>
          <w:szCs w:val="25"/>
        </w:rPr>
        <w:t>Основные признаки заключения контракта в рамках ГОЗ. Нивелирование рисков нарушения требований законодательства при заключении и исполнении контрактов.</w:t>
      </w:r>
    </w:p>
    <w:p w14:paraId="549E67ED" w14:textId="77777777" w:rsidR="00F32BDE" w:rsidRPr="001B2568" w:rsidRDefault="00F32BDE" w:rsidP="00F32BDE">
      <w:pPr>
        <w:pStyle w:val="mail-message-1"/>
        <w:numPr>
          <w:ilvl w:val="0"/>
          <w:numId w:val="35"/>
        </w:numPr>
        <w:shd w:val="clear" w:color="auto" w:fill="FFFFFF"/>
        <w:spacing w:line="276" w:lineRule="auto"/>
        <w:ind w:left="1701"/>
        <w:jc w:val="both"/>
        <w:rPr>
          <w:bCs/>
          <w:sz w:val="25"/>
          <w:szCs w:val="25"/>
        </w:rPr>
      </w:pPr>
      <w:r w:rsidRPr="001B2568">
        <w:rPr>
          <w:bCs/>
          <w:sz w:val="25"/>
          <w:szCs w:val="25"/>
        </w:rPr>
        <w:t>Основы банковского сопровождения. Режим использования отдельного банковского счета (далее – ОБС).</w:t>
      </w:r>
    </w:p>
    <w:p w14:paraId="5C05E422" w14:textId="77777777" w:rsidR="00F32BDE" w:rsidRPr="001B2568" w:rsidRDefault="00F32BDE" w:rsidP="00F32BDE">
      <w:pPr>
        <w:pStyle w:val="mail-message-1"/>
        <w:numPr>
          <w:ilvl w:val="0"/>
          <w:numId w:val="35"/>
        </w:numPr>
        <w:shd w:val="clear" w:color="auto" w:fill="FFFFFF"/>
        <w:spacing w:line="276" w:lineRule="auto"/>
        <w:ind w:left="1701"/>
        <w:jc w:val="both"/>
        <w:rPr>
          <w:bCs/>
          <w:sz w:val="25"/>
          <w:szCs w:val="25"/>
        </w:rPr>
      </w:pPr>
      <w:r w:rsidRPr="001B2568">
        <w:rPr>
          <w:bCs/>
          <w:sz w:val="25"/>
          <w:szCs w:val="25"/>
        </w:rPr>
        <w:t>Идентификатор государственного контракта (далее – ИГК). Порядок его формирования в соответствии с Приказом Минобороны России от 11.08.2015 №475 «Об утверждении Порядка формирования ИГК по ГОЗ».</w:t>
      </w:r>
    </w:p>
    <w:p w14:paraId="690DE1E9" w14:textId="77777777" w:rsidR="00F32BDE" w:rsidRPr="001B2568" w:rsidRDefault="00F32BDE" w:rsidP="00F32BDE">
      <w:pPr>
        <w:pStyle w:val="mail-message-1"/>
        <w:numPr>
          <w:ilvl w:val="0"/>
          <w:numId w:val="35"/>
        </w:numPr>
        <w:shd w:val="clear" w:color="auto" w:fill="FFFFFF"/>
        <w:spacing w:line="276" w:lineRule="auto"/>
        <w:ind w:left="1701"/>
        <w:jc w:val="both"/>
        <w:rPr>
          <w:bCs/>
          <w:sz w:val="25"/>
          <w:szCs w:val="25"/>
        </w:rPr>
      </w:pPr>
      <w:r w:rsidRPr="001B2568">
        <w:rPr>
          <w:bCs/>
          <w:sz w:val="25"/>
          <w:szCs w:val="25"/>
        </w:rPr>
        <w:t>Основные запреты и ограничения в рамках ГОЗ: действия (бездействие) головного исполнителя, исполнителя, влекущие за собой необоснованное завышение цен на продукцию, поставляемую по ГОЗ; неисполнение или ненадлежащее исполнение контракта.</w:t>
      </w:r>
    </w:p>
    <w:p w14:paraId="54A0A79F" w14:textId="77777777" w:rsidR="00F32BDE" w:rsidRPr="001B2568" w:rsidRDefault="00F32BDE" w:rsidP="00F32BDE">
      <w:pPr>
        <w:pStyle w:val="mail-message-1"/>
        <w:numPr>
          <w:ilvl w:val="0"/>
          <w:numId w:val="35"/>
        </w:numPr>
        <w:shd w:val="clear" w:color="auto" w:fill="FFFFFF"/>
        <w:spacing w:line="276" w:lineRule="auto"/>
        <w:ind w:left="1701"/>
        <w:jc w:val="both"/>
        <w:rPr>
          <w:bCs/>
          <w:sz w:val="25"/>
          <w:szCs w:val="25"/>
        </w:rPr>
      </w:pPr>
      <w:r w:rsidRPr="001B2568">
        <w:rPr>
          <w:bCs/>
          <w:sz w:val="25"/>
          <w:szCs w:val="25"/>
        </w:rPr>
        <w:t xml:space="preserve">Предконтрактная работа в соответствии с Постановлением Правительства РФ (далее – ПП РФ) от 19.09.2022г. №1658 «О типовых условиях контрактов, заключаемых в целях выполнения ГОЗ, и о внесении изменений в Положение о примерных условиях контрактов по ГОЗ» (далее - ПП РФ №1658), ПП РФ от </w:t>
      </w:r>
      <w:r w:rsidRPr="001B2568">
        <w:rPr>
          <w:bCs/>
          <w:sz w:val="25"/>
          <w:szCs w:val="25"/>
        </w:rPr>
        <w:lastRenderedPageBreak/>
        <w:t>26.12.2013г. №1275 «О примерных условиях контрактов по ГОЗ» с учетом последних внесенных изменений (далее - ПП РФ № 1275).</w:t>
      </w:r>
    </w:p>
    <w:p w14:paraId="324B61E5" w14:textId="77777777" w:rsidR="00F32BDE" w:rsidRPr="001B2568" w:rsidRDefault="00F32BDE" w:rsidP="00F32BDE">
      <w:pPr>
        <w:pStyle w:val="mail-message-1"/>
        <w:numPr>
          <w:ilvl w:val="1"/>
          <w:numId w:val="36"/>
        </w:numPr>
        <w:shd w:val="clear" w:color="auto" w:fill="FFFFFF"/>
        <w:spacing w:before="0" w:beforeAutospacing="0" w:after="0" w:afterAutospacing="0" w:line="276" w:lineRule="auto"/>
        <w:ind w:left="1134" w:hanging="567"/>
        <w:jc w:val="both"/>
        <w:rPr>
          <w:b/>
          <w:sz w:val="25"/>
          <w:szCs w:val="25"/>
        </w:rPr>
      </w:pPr>
      <w:r w:rsidRPr="001B2568">
        <w:rPr>
          <w:b/>
          <w:sz w:val="25"/>
          <w:szCs w:val="25"/>
        </w:rPr>
        <w:t>Ценообразование: государственное регулирование, виды и методы определения цен на продукцию, состав затрат и порядок установления прибыли, комплект обосновывающих цены документов.</w:t>
      </w:r>
    </w:p>
    <w:p w14:paraId="10F74D95" w14:textId="77777777" w:rsidR="00F32BDE" w:rsidRPr="001B2568" w:rsidRDefault="00F32BDE" w:rsidP="00F32BDE">
      <w:pPr>
        <w:pStyle w:val="mail-message-1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left="1701" w:hanging="425"/>
        <w:jc w:val="both"/>
        <w:outlineLvl w:val="1"/>
        <w:rPr>
          <w:sz w:val="25"/>
          <w:szCs w:val="25"/>
        </w:rPr>
      </w:pPr>
      <w:r w:rsidRPr="001B2568">
        <w:rPr>
          <w:sz w:val="25"/>
          <w:szCs w:val="25"/>
        </w:rPr>
        <w:t>Ценообразование в соответствии с ПП РФ №1465 «О государственном регулировании цен на продукцию, поставляемую по ГОЗ, а также о внесении изменений и признании утратившими силу некоторых актов Правительства РФ» (далее - ПП РФ №1465).</w:t>
      </w:r>
    </w:p>
    <w:p w14:paraId="7A681A3A" w14:textId="77777777" w:rsidR="00F32BDE" w:rsidRPr="001B2568" w:rsidRDefault="00F32BDE" w:rsidP="00F32BDE">
      <w:pPr>
        <w:pStyle w:val="mail-message-1"/>
        <w:numPr>
          <w:ilvl w:val="0"/>
          <w:numId w:val="27"/>
        </w:numPr>
        <w:shd w:val="clear" w:color="auto" w:fill="FFFFFF"/>
        <w:spacing w:before="0" w:beforeAutospacing="0" w:line="276" w:lineRule="auto"/>
        <w:ind w:left="1701" w:hanging="425"/>
        <w:jc w:val="both"/>
        <w:outlineLvl w:val="1"/>
        <w:rPr>
          <w:sz w:val="25"/>
          <w:szCs w:val="25"/>
        </w:rPr>
      </w:pPr>
      <w:r w:rsidRPr="001B2568">
        <w:rPr>
          <w:sz w:val="25"/>
          <w:szCs w:val="25"/>
        </w:rPr>
        <w:t>Участники ГОЗ, на которых распространяется государственное регулирование (далее - госрегулирование) цен в соответствии с Распоряжением Правительства РФ от 14.06.2013г. №976-р «Об утверждении перечня продукции по ГОЗ, на которую распространяется госрегулирование цен» (с учетом последних изменений).</w:t>
      </w:r>
    </w:p>
    <w:p w14:paraId="06C31FC1" w14:textId="77777777" w:rsidR="00F32BDE" w:rsidRPr="001B2568" w:rsidRDefault="00F32BDE" w:rsidP="00F32BDE">
      <w:pPr>
        <w:pStyle w:val="ConsPlusTitle"/>
        <w:numPr>
          <w:ilvl w:val="0"/>
          <w:numId w:val="27"/>
        </w:numPr>
        <w:spacing w:line="276" w:lineRule="auto"/>
        <w:ind w:left="1701" w:hanging="425"/>
        <w:jc w:val="both"/>
        <w:outlineLvl w:val="1"/>
        <w:rPr>
          <w:rFonts w:ascii="Times New Roman" w:hAnsi="Times New Roman" w:cs="Times New Roman"/>
          <w:b w:val="0"/>
          <w:bCs w:val="0"/>
          <w:sz w:val="25"/>
          <w:szCs w:val="25"/>
        </w:rPr>
      </w:pPr>
      <w:r w:rsidRPr="001B2568">
        <w:rPr>
          <w:rFonts w:ascii="Times New Roman" w:hAnsi="Times New Roman" w:cs="Times New Roman"/>
          <w:b w:val="0"/>
          <w:bCs w:val="0"/>
          <w:sz w:val="25"/>
          <w:szCs w:val="25"/>
        </w:rPr>
        <w:t>Комплект документов, обосновывающих цены на продукцию, поставляемую по ГОЗ. Разбор пункта 37 ПП РФ №1465, а также форм документов, утвержденных приказом ФАС России от 16.12.2022г. № 995/22 «Об утверждении форм документов, предусмотренных Положением о госрегулировании цен» (далее – Приказ ФАС России № 995/22).</w:t>
      </w:r>
    </w:p>
    <w:p w14:paraId="06A5EC2F" w14:textId="77777777" w:rsidR="00F32BDE" w:rsidRPr="001B2568" w:rsidRDefault="00F32BDE" w:rsidP="00F32BDE">
      <w:pPr>
        <w:pStyle w:val="ConsPlusTitle"/>
        <w:numPr>
          <w:ilvl w:val="0"/>
          <w:numId w:val="27"/>
        </w:numPr>
        <w:spacing w:line="276" w:lineRule="auto"/>
        <w:ind w:left="1701" w:hanging="425"/>
        <w:jc w:val="both"/>
        <w:outlineLvl w:val="1"/>
        <w:rPr>
          <w:rFonts w:ascii="Times New Roman" w:hAnsi="Times New Roman" w:cs="Times New Roman"/>
          <w:b w:val="0"/>
          <w:bCs w:val="0"/>
          <w:sz w:val="25"/>
          <w:szCs w:val="25"/>
        </w:rPr>
      </w:pPr>
      <w:r w:rsidRPr="001B2568">
        <w:rPr>
          <w:rFonts w:ascii="Times New Roman" w:hAnsi="Times New Roman" w:cs="Times New Roman"/>
          <w:b w:val="0"/>
          <w:bCs w:val="0"/>
          <w:sz w:val="25"/>
          <w:szCs w:val="25"/>
        </w:rPr>
        <w:t>Виды и методы определения цен на продукцию по ГОЗ.</w:t>
      </w:r>
    </w:p>
    <w:p w14:paraId="26627BFA" w14:textId="77777777" w:rsidR="00F32BDE" w:rsidRPr="001B2568" w:rsidRDefault="00F32BDE" w:rsidP="00F32BDE">
      <w:pPr>
        <w:pStyle w:val="ConsPlusTitle"/>
        <w:numPr>
          <w:ilvl w:val="0"/>
          <w:numId w:val="27"/>
        </w:numPr>
        <w:spacing w:line="276" w:lineRule="auto"/>
        <w:ind w:left="1701" w:hanging="425"/>
        <w:jc w:val="both"/>
        <w:outlineLvl w:val="1"/>
        <w:rPr>
          <w:rFonts w:ascii="Times New Roman" w:hAnsi="Times New Roman" w:cs="Times New Roman"/>
          <w:b w:val="0"/>
          <w:bCs w:val="0"/>
          <w:sz w:val="25"/>
          <w:szCs w:val="25"/>
        </w:rPr>
      </w:pPr>
      <w:r w:rsidRPr="001B2568">
        <w:rPr>
          <w:rFonts w:ascii="Times New Roman" w:hAnsi="Times New Roman" w:cs="Times New Roman"/>
          <w:b w:val="0"/>
          <w:bCs w:val="0"/>
          <w:sz w:val="25"/>
          <w:szCs w:val="25"/>
        </w:rPr>
        <w:t>Ориентировочная цена - риски и возможности. Фиксированная цена - гарантия цены на весь срок действия контракта.</w:t>
      </w:r>
    </w:p>
    <w:p w14:paraId="2B3AE270" w14:textId="77777777" w:rsidR="00F32BDE" w:rsidRPr="001B2568" w:rsidRDefault="00F32BDE" w:rsidP="00F32BDE">
      <w:pPr>
        <w:pStyle w:val="ConsPlusTitle"/>
        <w:numPr>
          <w:ilvl w:val="0"/>
          <w:numId w:val="27"/>
        </w:numPr>
        <w:spacing w:line="276" w:lineRule="auto"/>
        <w:ind w:left="1701" w:hanging="425"/>
        <w:jc w:val="both"/>
        <w:outlineLvl w:val="1"/>
        <w:rPr>
          <w:rFonts w:ascii="Times New Roman" w:hAnsi="Times New Roman" w:cs="Times New Roman"/>
          <w:b w:val="0"/>
          <w:bCs w:val="0"/>
          <w:sz w:val="25"/>
          <w:szCs w:val="25"/>
        </w:rPr>
      </w:pPr>
      <w:r w:rsidRPr="001B2568">
        <w:rPr>
          <w:rFonts w:ascii="Times New Roman" w:hAnsi="Times New Roman" w:cs="Times New Roman"/>
          <w:b w:val="0"/>
          <w:bCs w:val="0"/>
          <w:sz w:val="25"/>
          <w:szCs w:val="25"/>
        </w:rPr>
        <w:t>Возмещение фактически понесенных затрат при переводе ориентировочной цены в фиксированную.</w:t>
      </w:r>
    </w:p>
    <w:p w14:paraId="0D0DBA82" w14:textId="77777777" w:rsidR="00F32BDE" w:rsidRPr="001B2568" w:rsidRDefault="00F32BDE" w:rsidP="00F32BDE">
      <w:pPr>
        <w:pStyle w:val="ConsPlusTitle"/>
        <w:numPr>
          <w:ilvl w:val="0"/>
          <w:numId w:val="27"/>
        </w:numPr>
        <w:spacing w:line="276" w:lineRule="auto"/>
        <w:ind w:left="1701" w:hanging="425"/>
        <w:jc w:val="both"/>
        <w:outlineLvl w:val="1"/>
        <w:rPr>
          <w:rFonts w:ascii="Times New Roman" w:hAnsi="Times New Roman" w:cs="Times New Roman"/>
          <w:b w:val="0"/>
          <w:bCs w:val="0"/>
          <w:sz w:val="25"/>
          <w:szCs w:val="25"/>
        </w:rPr>
      </w:pPr>
      <w:r w:rsidRPr="001B2568">
        <w:rPr>
          <w:rFonts w:ascii="Times New Roman" w:hAnsi="Times New Roman" w:cs="Times New Roman"/>
          <w:b w:val="0"/>
          <w:bCs w:val="0"/>
          <w:sz w:val="25"/>
          <w:szCs w:val="25"/>
        </w:rPr>
        <w:t>Порядок установления прибыли на продукцию по ГОЗ, факторы ограничения и порядок расчета.</w:t>
      </w:r>
    </w:p>
    <w:p w14:paraId="62B8BC34" w14:textId="77777777" w:rsidR="00F32BDE" w:rsidRPr="001B2568" w:rsidRDefault="00F32BDE" w:rsidP="00F32BDE">
      <w:pPr>
        <w:pStyle w:val="ConsPlusTitle"/>
        <w:numPr>
          <w:ilvl w:val="0"/>
          <w:numId w:val="27"/>
        </w:numPr>
        <w:spacing w:line="276" w:lineRule="auto"/>
        <w:ind w:left="1701" w:hanging="425"/>
        <w:jc w:val="both"/>
        <w:outlineLvl w:val="1"/>
        <w:rPr>
          <w:rFonts w:ascii="Times New Roman" w:hAnsi="Times New Roman" w:cs="Times New Roman"/>
          <w:b w:val="0"/>
          <w:bCs w:val="0"/>
          <w:sz w:val="25"/>
          <w:szCs w:val="25"/>
        </w:rPr>
      </w:pPr>
      <w:r w:rsidRPr="001B2568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Состав затрат, подлежащий включению в себестоимость продукции, поставляемой по ГОЗ. Отдельные вопросы, связанные с проблематикой определения цен. Приказ Минпромторга России от 08.02.2019г. №334 «Об утверждении порядка определения состава затрат, включаемых в цену продукции, поставляемой в рамках ГОЗ» (далее - Приказ Минпромторга России №334). Приказ Минобороны России от 08.06.2022г. №329 «Об утверждении перечня документов, представляемых в Минобороны </w:t>
      </w:r>
      <w:bookmarkStart w:id="2" w:name="_Hlk161083841"/>
      <w:r w:rsidRPr="001B2568">
        <w:rPr>
          <w:rFonts w:ascii="Times New Roman" w:hAnsi="Times New Roman" w:cs="Times New Roman"/>
          <w:b w:val="0"/>
          <w:bCs w:val="0"/>
          <w:sz w:val="25"/>
          <w:szCs w:val="25"/>
        </w:rPr>
        <w:t>России</w:t>
      </w:r>
      <w:bookmarkEnd w:id="2"/>
      <w:r w:rsidRPr="001B2568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в составе обосновывающих документов при представлении предложений о цене на продукцию, поставляемую по ГОЗ, согласно п. 37 ПП РФ № 1465» (далее - Приказ Минобороны России №329).</w:t>
      </w:r>
    </w:p>
    <w:p w14:paraId="641912D2" w14:textId="77777777" w:rsidR="00F32BDE" w:rsidRPr="001B2568" w:rsidRDefault="00F32BDE" w:rsidP="00F32BDE">
      <w:pPr>
        <w:pStyle w:val="ConsPlusTitle"/>
        <w:numPr>
          <w:ilvl w:val="0"/>
          <w:numId w:val="27"/>
        </w:numPr>
        <w:spacing w:line="276" w:lineRule="auto"/>
        <w:ind w:left="1701" w:hanging="425"/>
        <w:jc w:val="both"/>
        <w:outlineLvl w:val="1"/>
        <w:rPr>
          <w:rFonts w:ascii="Times New Roman" w:hAnsi="Times New Roman" w:cs="Times New Roman"/>
          <w:b w:val="0"/>
          <w:bCs w:val="0"/>
          <w:sz w:val="25"/>
          <w:szCs w:val="25"/>
        </w:rPr>
      </w:pPr>
      <w:r w:rsidRPr="001B2568">
        <w:rPr>
          <w:rFonts w:ascii="Times New Roman" w:hAnsi="Times New Roman" w:cs="Times New Roman"/>
          <w:b w:val="0"/>
          <w:bCs w:val="0"/>
          <w:sz w:val="25"/>
          <w:szCs w:val="25"/>
        </w:rPr>
        <w:t>Порядок применения индексов цен и индексов-дефляторов в соответствии с Приказом Минэкономразвития России от 01.04.2020г. №190 «Об утверждении порядка применения индексов цен и индексов-дефляторов по видам экономической деятельности, а также иных показателей в составе прогноза социально-экономического развития РФ при формировании цен на продукцию, поставляемую по ГОЗ» (далее – Приказ Минэкономразвития России №190).</w:t>
      </w:r>
    </w:p>
    <w:p w14:paraId="30F3ECC3" w14:textId="77777777" w:rsidR="00F32BDE" w:rsidRPr="001B2568" w:rsidRDefault="00F32BDE" w:rsidP="00F32BDE">
      <w:pPr>
        <w:pStyle w:val="mail-message-1"/>
        <w:numPr>
          <w:ilvl w:val="1"/>
          <w:numId w:val="36"/>
        </w:numPr>
        <w:shd w:val="clear" w:color="auto" w:fill="FFFFFF"/>
        <w:spacing w:before="0" w:beforeAutospacing="0" w:after="0" w:afterAutospacing="0" w:line="276" w:lineRule="auto"/>
        <w:ind w:left="1134" w:hanging="567"/>
        <w:jc w:val="both"/>
        <w:rPr>
          <w:b/>
          <w:sz w:val="25"/>
          <w:szCs w:val="25"/>
        </w:rPr>
      </w:pPr>
      <w:r w:rsidRPr="001B2568">
        <w:rPr>
          <w:b/>
          <w:sz w:val="25"/>
          <w:szCs w:val="25"/>
        </w:rPr>
        <w:lastRenderedPageBreak/>
        <w:t>Порядок взаимодействия с Государственным заказчиком, Военным представительством Минобороны России и иными органами военного управления.</w:t>
      </w:r>
    </w:p>
    <w:p w14:paraId="18CED2F4" w14:textId="77777777" w:rsidR="00F32BDE" w:rsidRPr="001B2568" w:rsidRDefault="00F32BDE" w:rsidP="00F32BDE">
      <w:pPr>
        <w:pStyle w:val="ConsPlusTitle"/>
        <w:numPr>
          <w:ilvl w:val="0"/>
          <w:numId w:val="28"/>
        </w:numPr>
        <w:spacing w:line="276" w:lineRule="auto"/>
        <w:ind w:left="1701" w:hanging="425"/>
        <w:jc w:val="both"/>
        <w:outlineLvl w:val="1"/>
        <w:rPr>
          <w:rFonts w:ascii="Times New Roman" w:hAnsi="Times New Roman" w:cs="Times New Roman"/>
          <w:b w:val="0"/>
          <w:bCs w:val="0"/>
          <w:sz w:val="25"/>
          <w:szCs w:val="25"/>
        </w:rPr>
      </w:pPr>
      <w:r w:rsidRPr="001B2568">
        <w:rPr>
          <w:rFonts w:ascii="Times New Roman" w:hAnsi="Times New Roman" w:cs="Times New Roman"/>
          <w:b w:val="0"/>
          <w:bCs w:val="0"/>
          <w:sz w:val="25"/>
          <w:szCs w:val="25"/>
        </w:rPr>
        <w:t>Рассмотрение Положения о Военном представительстве Минобороны России (далее ВП Минобороны России).</w:t>
      </w:r>
    </w:p>
    <w:p w14:paraId="517F9383" w14:textId="77777777" w:rsidR="00F32BDE" w:rsidRPr="001B2568" w:rsidRDefault="00F32BDE" w:rsidP="00F32BDE">
      <w:pPr>
        <w:pStyle w:val="ConsPlusTitle"/>
        <w:numPr>
          <w:ilvl w:val="0"/>
          <w:numId w:val="28"/>
        </w:numPr>
        <w:spacing w:line="276" w:lineRule="auto"/>
        <w:ind w:left="1701" w:hanging="425"/>
        <w:jc w:val="both"/>
        <w:outlineLvl w:val="1"/>
        <w:rPr>
          <w:rFonts w:ascii="Times New Roman" w:hAnsi="Times New Roman" w:cs="Times New Roman"/>
          <w:b w:val="0"/>
          <w:bCs w:val="0"/>
          <w:sz w:val="25"/>
          <w:szCs w:val="25"/>
        </w:rPr>
      </w:pPr>
      <w:r w:rsidRPr="001B2568">
        <w:rPr>
          <w:rFonts w:ascii="Times New Roman" w:hAnsi="Times New Roman" w:cs="Times New Roman"/>
          <w:b w:val="0"/>
          <w:bCs w:val="0"/>
          <w:sz w:val="25"/>
          <w:szCs w:val="25"/>
        </w:rPr>
        <w:t>Разбор основных критериев проверки цены, заложенных в форму заключения ВП Минобороны России.</w:t>
      </w:r>
    </w:p>
    <w:p w14:paraId="264ADD43" w14:textId="77777777" w:rsidR="00F32BDE" w:rsidRPr="001B2568" w:rsidRDefault="00F32BDE" w:rsidP="00F32BDE">
      <w:pPr>
        <w:pStyle w:val="ConsPlusTitle"/>
        <w:numPr>
          <w:ilvl w:val="0"/>
          <w:numId w:val="28"/>
        </w:numPr>
        <w:spacing w:line="276" w:lineRule="auto"/>
        <w:ind w:left="1701" w:hanging="425"/>
        <w:jc w:val="both"/>
        <w:outlineLvl w:val="1"/>
        <w:rPr>
          <w:rFonts w:ascii="Times New Roman" w:hAnsi="Times New Roman" w:cs="Times New Roman"/>
          <w:b w:val="0"/>
          <w:bCs w:val="0"/>
          <w:sz w:val="25"/>
          <w:szCs w:val="25"/>
        </w:rPr>
      </w:pPr>
      <w:r w:rsidRPr="001B2568">
        <w:rPr>
          <w:rFonts w:ascii="Times New Roman" w:hAnsi="Times New Roman" w:cs="Times New Roman"/>
          <w:b w:val="0"/>
          <w:bCs w:val="0"/>
          <w:sz w:val="25"/>
          <w:szCs w:val="25"/>
        </w:rPr>
        <w:t>Разбор заключения и порядок взаимодействия с Государственным заказчиком.</w:t>
      </w:r>
    </w:p>
    <w:p w14:paraId="2117108F" w14:textId="77777777" w:rsidR="00F32BDE" w:rsidRPr="001B2568" w:rsidRDefault="00F32BDE" w:rsidP="00F32BDE">
      <w:pPr>
        <w:pStyle w:val="ConsPlusTitle"/>
        <w:numPr>
          <w:ilvl w:val="0"/>
          <w:numId w:val="28"/>
        </w:numPr>
        <w:spacing w:line="276" w:lineRule="auto"/>
        <w:ind w:left="1701" w:hanging="425"/>
        <w:jc w:val="both"/>
        <w:outlineLvl w:val="1"/>
        <w:rPr>
          <w:rFonts w:ascii="Times New Roman" w:hAnsi="Times New Roman" w:cs="Times New Roman"/>
          <w:b w:val="0"/>
          <w:bCs w:val="0"/>
          <w:sz w:val="25"/>
          <w:szCs w:val="25"/>
        </w:rPr>
      </w:pPr>
      <w:r w:rsidRPr="001B2568">
        <w:rPr>
          <w:rFonts w:ascii="Times New Roman" w:hAnsi="Times New Roman" w:cs="Times New Roman"/>
          <w:b w:val="0"/>
          <w:bCs w:val="0"/>
          <w:sz w:val="25"/>
          <w:szCs w:val="25"/>
        </w:rPr>
        <w:t>Согласование отдельных видов затрат, включаемых в себестоимость продукции по ГОЗ. Взаимодействие с ВП Минобороны России в части комплектности и формата представляемых обосновывающих документов.</w:t>
      </w:r>
    </w:p>
    <w:p w14:paraId="0CE300CA" w14:textId="77777777" w:rsidR="00F32BDE" w:rsidRPr="001B2568" w:rsidRDefault="00F32BDE" w:rsidP="00F32BDE">
      <w:pPr>
        <w:pStyle w:val="ConsPlusTitle"/>
        <w:numPr>
          <w:ilvl w:val="0"/>
          <w:numId w:val="28"/>
        </w:numPr>
        <w:spacing w:line="276" w:lineRule="auto"/>
        <w:ind w:left="1701" w:hanging="425"/>
        <w:jc w:val="both"/>
        <w:outlineLvl w:val="1"/>
        <w:rPr>
          <w:rFonts w:ascii="Times New Roman" w:hAnsi="Times New Roman" w:cs="Times New Roman"/>
          <w:b w:val="0"/>
          <w:bCs w:val="0"/>
          <w:sz w:val="25"/>
          <w:szCs w:val="25"/>
        </w:rPr>
      </w:pPr>
      <w:r w:rsidRPr="001B2568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Инструкции при заполнении описей и реестров документов, предоставляемых в адрес Государственного заказчика: причины возврата, порядок отработки возражений. </w:t>
      </w:r>
    </w:p>
    <w:p w14:paraId="7BA1F9C1" w14:textId="77777777" w:rsidR="00F32BDE" w:rsidRPr="001B2568" w:rsidRDefault="00F32BDE" w:rsidP="00F32BDE">
      <w:pPr>
        <w:pStyle w:val="ConsPlusTitle"/>
        <w:spacing w:line="276" w:lineRule="auto"/>
        <w:jc w:val="both"/>
        <w:outlineLvl w:val="1"/>
        <w:rPr>
          <w:rFonts w:ascii="Times New Roman" w:hAnsi="Times New Roman" w:cs="Times New Roman"/>
          <w:b w:val="0"/>
          <w:bCs w:val="0"/>
          <w:sz w:val="25"/>
          <w:szCs w:val="25"/>
        </w:rPr>
      </w:pPr>
    </w:p>
    <w:p w14:paraId="0FF7600C" w14:textId="4B2669A1" w:rsidR="00F32BDE" w:rsidRPr="007A525D" w:rsidRDefault="00F32BDE" w:rsidP="00F32BDE">
      <w:pPr>
        <w:spacing w:after="0" w:line="276" w:lineRule="auto"/>
        <w:ind w:left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A525D">
        <w:rPr>
          <w:rFonts w:ascii="Times New Roman" w:hAnsi="Times New Roman" w:cs="Times New Roman"/>
          <w:b/>
          <w:bCs/>
          <w:sz w:val="25"/>
          <w:szCs w:val="25"/>
        </w:rPr>
        <w:t>ЧАСТЬ 2 (</w:t>
      </w:r>
      <w:r w:rsidRPr="007A525D">
        <w:rPr>
          <w:rFonts w:ascii="Times New Roman" w:hAnsi="Times New Roman" w:cs="Times New Roman"/>
          <w:b/>
          <w:sz w:val="25"/>
          <w:szCs w:val="25"/>
        </w:rPr>
        <w:t>18-19 АПРЕЛЯ 2024</w:t>
      </w:r>
      <w:r w:rsidR="007A525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7A525D">
        <w:rPr>
          <w:rFonts w:ascii="Times New Roman" w:hAnsi="Times New Roman" w:cs="Times New Roman"/>
          <w:b/>
          <w:sz w:val="25"/>
          <w:szCs w:val="25"/>
        </w:rPr>
        <w:t>г., С 10:00 ДО 17:30 МСК). ОСНОВНАЯ.</w:t>
      </w:r>
    </w:p>
    <w:p w14:paraId="77C4921D" w14:textId="77777777" w:rsidR="007A525D" w:rsidRPr="001B2568" w:rsidRDefault="007A525D" w:rsidP="00F32BDE">
      <w:pPr>
        <w:spacing w:after="0" w:line="276" w:lineRule="auto"/>
        <w:ind w:left="567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14:paraId="202C5473" w14:textId="77777777" w:rsidR="00F32BDE" w:rsidRPr="001B2568" w:rsidRDefault="00F32BDE" w:rsidP="00F32BDE">
      <w:pPr>
        <w:spacing w:after="0" w:line="276" w:lineRule="auto"/>
        <w:ind w:left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1B2568">
        <w:rPr>
          <w:rFonts w:ascii="Times New Roman" w:hAnsi="Times New Roman" w:cs="Times New Roman"/>
          <w:b/>
          <w:sz w:val="25"/>
          <w:szCs w:val="25"/>
        </w:rPr>
        <w:t>ЖИЗНЕННЫЙ ЦИКЛ ГОЗ ОТ РАЗМЕЩЕНИЯ ЗАДАНИЙ И ЗАКЛЮЧЕНИЯ КОНТРАКТОВ ДО ПОСТАВКИ ПРОДУКЦИИ И ОКОНЧАТЕЛЬНЫХ РАСЧЕТОВ: ПРАКТИКА ПРИМЕНЕНИЯ ЗАКОНОДАТЕЛЬСТВА И РЕКОМЕНДАЦИИ ЭКСПЕРТОВ ПО СНИЖЕНИЮ РИСКОВ ПРИ ВЫПОЛНЕНИИ ЗАДАНИЙ ПО ГОЗ.</w:t>
      </w:r>
    </w:p>
    <w:p w14:paraId="5FB07A12" w14:textId="77777777" w:rsidR="00F32BDE" w:rsidRPr="001B2568" w:rsidRDefault="00F32BDE" w:rsidP="00F32BDE">
      <w:pPr>
        <w:spacing w:after="0" w:line="276" w:lineRule="auto"/>
        <w:ind w:left="567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>Н.А. Ермолаев, Р.Д. Шацкий, К.С. Ярмолинская, И.А. Никитин, А.Е. Палкин</w:t>
      </w:r>
    </w:p>
    <w:p w14:paraId="1047EA85" w14:textId="77777777" w:rsidR="00F32BDE" w:rsidRPr="001B2568" w:rsidRDefault="00F32BDE" w:rsidP="00F32BDE">
      <w:pPr>
        <w:spacing w:after="0" w:line="276" w:lineRule="auto"/>
        <w:ind w:left="567"/>
        <w:jc w:val="both"/>
        <w:rPr>
          <w:rFonts w:ascii="Times New Roman" w:hAnsi="Times New Roman" w:cs="Times New Roman"/>
          <w:i/>
          <w:iCs/>
          <w:sz w:val="25"/>
          <w:szCs w:val="25"/>
        </w:rPr>
      </w:pPr>
    </w:p>
    <w:p w14:paraId="31FCABF6" w14:textId="77777777" w:rsidR="00F32BDE" w:rsidRPr="001B2568" w:rsidRDefault="00F32BDE" w:rsidP="00F32BDE">
      <w:pPr>
        <w:pStyle w:val="a4"/>
        <w:numPr>
          <w:ilvl w:val="1"/>
          <w:numId w:val="37"/>
        </w:numPr>
        <w:spacing w:line="276" w:lineRule="auto"/>
        <w:ind w:left="1134" w:hanging="567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1B2568">
        <w:rPr>
          <w:rFonts w:ascii="Times New Roman" w:hAnsi="Times New Roman" w:cs="Times New Roman"/>
          <w:b/>
          <w:bCs/>
          <w:sz w:val="25"/>
          <w:szCs w:val="25"/>
        </w:rPr>
        <w:t>Контрактация как основа для качественного и своевременного выполнения заданий по ГОЗ без рисков и для Заказчика, и для Исполнителя: обязательные условия в рамках заключения, изменения и исполнения контракта, условия финансирования и возмещения затрат.</w:t>
      </w:r>
    </w:p>
    <w:p w14:paraId="455DC652" w14:textId="77777777" w:rsidR="00F32BDE" w:rsidRPr="001B2568" w:rsidRDefault="00F32BDE" w:rsidP="00F32BDE">
      <w:pPr>
        <w:pStyle w:val="a4"/>
        <w:numPr>
          <w:ilvl w:val="0"/>
          <w:numId w:val="29"/>
        </w:numPr>
        <w:spacing w:line="276" w:lineRule="auto"/>
        <w:ind w:left="1701" w:hanging="425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>Договорная работа и особенности взаимодействия участников процесса при выполнении заданий по ГОЗ в соответствии с требованиями №275-ФЗ, ПП РФ от 15.12.2023г. № 2172-72 «О ГОЗ на 2024 год и на плановый период 2025-2026гг.».</w:t>
      </w:r>
    </w:p>
    <w:p w14:paraId="398E1C58" w14:textId="77777777" w:rsidR="00F32BDE" w:rsidRPr="001B2568" w:rsidRDefault="00F32BDE" w:rsidP="00F32BDE">
      <w:pPr>
        <w:pStyle w:val="a4"/>
        <w:numPr>
          <w:ilvl w:val="0"/>
          <w:numId w:val="29"/>
        </w:numPr>
        <w:spacing w:line="276" w:lineRule="auto"/>
        <w:ind w:left="1701" w:hanging="425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>Порядок авансирования контрактов. Изменения в размерах выплачиваемых авансов.</w:t>
      </w:r>
    </w:p>
    <w:p w14:paraId="1BE22CAB" w14:textId="77777777" w:rsidR="00F32BDE" w:rsidRPr="001B2568" w:rsidRDefault="00F32BDE" w:rsidP="00F32BDE">
      <w:pPr>
        <w:pStyle w:val="a4"/>
        <w:numPr>
          <w:ilvl w:val="0"/>
          <w:numId w:val="29"/>
        </w:numPr>
        <w:spacing w:line="276" w:lineRule="auto"/>
        <w:ind w:left="1701" w:hanging="425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>Закрытие информации о закупках в сфере ГОЗ по №44-ФЗ и №223-ФЗ.</w:t>
      </w:r>
    </w:p>
    <w:p w14:paraId="4ED867A6" w14:textId="77777777" w:rsidR="00F32BDE" w:rsidRPr="001B2568" w:rsidRDefault="00F32BDE" w:rsidP="00F32BDE">
      <w:pPr>
        <w:pStyle w:val="a4"/>
        <w:numPr>
          <w:ilvl w:val="0"/>
          <w:numId w:val="29"/>
        </w:numPr>
        <w:spacing w:line="276" w:lineRule="auto"/>
        <w:ind w:left="1701" w:hanging="425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>Информационное обеспечение закупок: как стать поставщиком продукции по ГОЗ; как узнать, что ты поставщик по ГОЗ.</w:t>
      </w:r>
    </w:p>
    <w:p w14:paraId="5F0D28BD" w14:textId="77777777" w:rsidR="00F32BDE" w:rsidRPr="001B2568" w:rsidRDefault="00F32BDE" w:rsidP="00F32BDE">
      <w:pPr>
        <w:pStyle w:val="a4"/>
        <w:numPr>
          <w:ilvl w:val="0"/>
          <w:numId w:val="29"/>
        </w:numPr>
        <w:spacing w:line="276" w:lineRule="auto"/>
        <w:ind w:left="1701" w:hanging="425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>Случаи, при которых допускаются изменения условий контрактов. Упрощение положений заключаемых контрактов и правила описания объекта закупки (продукции).</w:t>
      </w:r>
    </w:p>
    <w:p w14:paraId="16E0C7E9" w14:textId="77777777" w:rsidR="00F32BDE" w:rsidRPr="001B2568" w:rsidRDefault="00F32BDE" w:rsidP="00F32BDE">
      <w:pPr>
        <w:pStyle w:val="a4"/>
        <w:numPr>
          <w:ilvl w:val="0"/>
          <w:numId w:val="29"/>
        </w:numPr>
        <w:spacing w:line="276" w:lineRule="auto"/>
        <w:ind w:left="1701" w:hanging="425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>Порядок заключения контрактов и договоров, в т.ч. рамочных.</w:t>
      </w:r>
    </w:p>
    <w:p w14:paraId="4861E2AD" w14:textId="77777777" w:rsidR="00F32BDE" w:rsidRPr="001B2568" w:rsidRDefault="00F32BDE" w:rsidP="00F32BDE">
      <w:pPr>
        <w:pStyle w:val="a4"/>
        <w:numPr>
          <w:ilvl w:val="0"/>
          <w:numId w:val="29"/>
        </w:numPr>
        <w:spacing w:after="0" w:line="276" w:lineRule="auto"/>
        <w:ind w:left="1701" w:hanging="425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 xml:space="preserve">Необходимость включения ИГК в контракты, заключаемые в кооперации. </w:t>
      </w:r>
    </w:p>
    <w:p w14:paraId="6E41E70E" w14:textId="77777777" w:rsidR="00F32BDE" w:rsidRPr="001B2568" w:rsidRDefault="00F32BDE" w:rsidP="00F32BD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14:paraId="7149E69D" w14:textId="77777777" w:rsidR="00F32BDE" w:rsidRPr="001B2568" w:rsidRDefault="00F32BDE" w:rsidP="00F32BDE">
      <w:pPr>
        <w:pStyle w:val="a4"/>
        <w:numPr>
          <w:ilvl w:val="1"/>
          <w:numId w:val="37"/>
        </w:numPr>
        <w:spacing w:after="0" w:line="276" w:lineRule="auto"/>
        <w:ind w:left="1134" w:hanging="567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1B2568">
        <w:rPr>
          <w:rFonts w:ascii="Times New Roman" w:hAnsi="Times New Roman" w:cs="Times New Roman"/>
          <w:b/>
          <w:bCs/>
          <w:sz w:val="25"/>
          <w:szCs w:val="25"/>
        </w:rPr>
        <w:lastRenderedPageBreak/>
        <w:t>Взаимодействие участников ГОЗ и трансляция условий контракта по всей цепочке кооперации: «Государственный заказчик – Головной исполнитель – Исполнитель – Исполнитель»: практика применения обязательных требований законодательства, регламентируемых ПП РФ №1658 и ПП РФ № 1275.</w:t>
      </w:r>
    </w:p>
    <w:p w14:paraId="3B210FD8" w14:textId="77777777" w:rsidR="00F32BDE" w:rsidRPr="001B2568" w:rsidRDefault="00F32BDE" w:rsidP="00F32BDE">
      <w:pPr>
        <w:pStyle w:val="a4"/>
        <w:numPr>
          <w:ilvl w:val="0"/>
          <w:numId w:val="30"/>
        </w:numPr>
        <w:spacing w:after="0" w:line="276" w:lineRule="auto"/>
        <w:ind w:left="1701" w:hanging="425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>Условия контракта как основной механизм защиты организации, выполняющей ГОЗ, или на что обратить особое внимание при согласовании контракта и внесении в него изменений.</w:t>
      </w:r>
    </w:p>
    <w:p w14:paraId="7E69A037" w14:textId="77777777" w:rsidR="00F32BDE" w:rsidRPr="001B2568" w:rsidRDefault="00F32BDE" w:rsidP="00F32BDE">
      <w:pPr>
        <w:pStyle w:val="a4"/>
        <w:numPr>
          <w:ilvl w:val="0"/>
          <w:numId w:val="30"/>
        </w:numPr>
        <w:spacing w:line="276" w:lineRule="auto"/>
        <w:ind w:left="1701" w:hanging="425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 xml:space="preserve">Кооперация головного исполнителя: порядок формирования, ограничения и возможности закупки продукции по «гражданским» (коммерческим) договорам и (или) контрактам без ИГК </w:t>
      </w:r>
      <w:r w:rsidRPr="001B256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(без ссылки на ГОЗ). </w:t>
      </w:r>
    </w:p>
    <w:p w14:paraId="35345A83" w14:textId="77777777" w:rsidR="00F32BDE" w:rsidRPr="001B2568" w:rsidRDefault="00F32BDE" w:rsidP="00F32BDE">
      <w:pPr>
        <w:pStyle w:val="a4"/>
        <w:numPr>
          <w:ilvl w:val="0"/>
          <w:numId w:val="30"/>
        </w:numPr>
        <w:spacing w:line="276" w:lineRule="auto"/>
        <w:ind w:left="1701" w:hanging="425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>Порядок и сроки рассмотрения сторонами предложений по внесению изменений в условия контракта.</w:t>
      </w:r>
    </w:p>
    <w:p w14:paraId="3481293C" w14:textId="77777777" w:rsidR="00F32BDE" w:rsidRPr="001B2568" w:rsidRDefault="00F32BDE" w:rsidP="00F32BDE">
      <w:pPr>
        <w:pStyle w:val="a4"/>
        <w:numPr>
          <w:ilvl w:val="0"/>
          <w:numId w:val="30"/>
        </w:numPr>
        <w:spacing w:line="276" w:lineRule="auto"/>
        <w:ind w:left="1701" w:hanging="425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>Пошаговый разбор требований ПП РФ №1658. Условия контракта, обязательные к исполнению всеми участниками ГОЗ.</w:t>
      </w:r>
    </w:p>
    <w:p w14:paraId="5A17ADE0" w14:textId="77777777" w:rsidR="00F32BDE" w:rsidRPr="001B2568" w:rsidRDefault="00F32BDE" w:rsidP="00F32BDE">
      <w:pPr>
        <w:pStyle w:val="a4"/>
        <w:numPr>
          <w:ilvl w:val="0"/>
          <w:numId w:val="30"/>
        </w:numPr>
        <w:spacing w:after="0" w:line="276" w:lineRule="auto"/>
        <w:ind w:left="1701" w:hanging="425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>Условия контракта, определяющие надлежащее исполнение обязательств по поставке продукции, в том числе ее количество, качество, комплектность и соответствие обязательным требованиям, установленным государственным заказчиком для определенных видов продукции в соответствии с законодательством РФ о техническом регулировании и (или) государственным контрактом (контрактом);</w:t>
      </w:r>
    </w:p>
    <w:p w14:paraId="5976445D" w14:textId="77777777" w:rsidR="00F32BDE" w:rsidRPr="001B2568" w:rsidRDefault="00F32BDE" w:rsidP="00F32BDE">
      <w:pPr>
        <w:pStyle w:val="a4"/>
        <w:numPr>
          <w:ilvl w:val="0"/>
          <w:numId w:val="30"/>
        </w:numPr>
        <w:spacing w:after="0" w:line="276" w:lineRule="auto"/>
        <w:ind w:left="1701" w:hanging="425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>Порядок осуществления взаимодействия сторон по контракту с военными представительствами государственного заказчика.</w:t>
      </w:r>
    </w:p>
    <w:p w14:paraId="29298365" w14:textId="77777777" w:rsidR="00F32BDE" w:rsidRPr="001B2568" w:rsidRDefault="00F32BDE" w:rsidP="00F32BDE">
      <w:pPr>
        <w:pStyle w:val="a4"/>
        <w:spacing w:after="0" w:line="276" w:lineRule="auto"/>
        <w:ind w:left="1701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14:paraId="38A28AD7" w14:textId="77777777" w:rsidR="00F32BDE" w:rsidRPr="001B2568" w:rsidRDefault="00F32BDE" w:rsidP="00F32BDE">
      <w:pPr>
        <w:pStyle w:val="a4"/>
        <w:numPr>
          <w:ilvl w:val="1"/>
          <w:numId w:val="37"/>
        </w:numPr>
        <w:spacing w:line="276" w:lineRule="auto"/>
        <w:ind w:left="1134" w:hanging="567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1B2568">
        <w:rPr>
          <w:rFonts w:ascii="Times New Roman" w:hAnsi="Times New Roman" w:cs="Times New Roman"/>
          <w:b/>
          <w:bCs/>
          <w:sz w:val="25"/>
          <w:szCs w:val="25"/>
        </w:rPr>
        <w:t>Контрольно-надзорная деятельность за исполнением контрактов по ГОЗ: разбор типовых нарушений законодательства, судебная практика и новые прецеденты, на которые стоит обратить внимание.</w:t>
      </w:r>
    </w:p>
    <w:p w14:paraId="4EB52914" w14:textId="77777777" w:rsidR="00F32BDE" w:rsidRPr="001B2568" w:rsidRDefault="00F32BDE" w:rsidP="00F32BDE">
      <w:pPr>
        <w:pStyle w:val="a4"/>
        <w:numPr>
          <w:ilvl w:val="0"/>
          <w:numId w:val="31"/>
        </w:numPr>
        <w:spacing w:line="276" w:lineRule="auto"/>
        <w:ind w:left="1701" w:hanging="425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>Отказ и уклонение от заключения контрактов по ГОЗ: причины, порядок подтверждения и правовые последствия.</w:t>
      </w:r>
    </w:p>
    <w:p w14:paraId="16F5CF57" w14:textId="77777777" w:rsidR="00F32BDE" w:rsidRPr="001B2568" w:rsidRDefault="00F32BDE" w:rsidP="00F32BDE">
      <w:pPr>
        <w:pStyle w:val="a4"/>
        <w:numPr>
          <w:ilvl w:val="0"/>
          <w:numId w:val="31"/>
        </w:numPr>
        <w:spacing w:line="276" w:lineRule="auto"/>
        <w:ind w:left="1701" w:hanging="425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>Нарушения при формировании цен на продукцию, поставляемую по ГОЗ, выявляемые ФАС России и Прокуратурой России: основания для проведения порядок и оформление результатов.</w:t>
      </w:r>
    </w:p>
    <w:p w14:paraId="6F2005BC" w14:textId="77777777" w:rsidR="00F32BDE" w:rsidRPr="001B2568" w:rsidRDefault="00F32BDE" w:rsidP="00F32BDE">
      <w:pPr>
        <w:pStyle w:val="a4"/>
        <w:numPr>
          <w:ilvl w:val="0"/>
          <w:numId w:val="31"/>
        </w:numPr>
        <w:spacing w:line="276" w:lineRule="auto"/>
        <w:ind w:left="1701" w:hanging="425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>Административная ответственность за представление (непредставление) комплекта обосновывающих документов при подтверждении цен на продукцию, поставляемую по ГОЗ, в соответствии с пунктом 37 ПП РФ №1465 (ст. 14.6.1 КоАП РФ).</w:t>
      </w:r>
    </w:p>
    <w:p w14:paraId="3A88E1ED" w14:textId="77777777" w:rsidR="00F32BDE" w:rsidRPr="001B2568" w:rsidRDefault="00F32BDE" w:rsidP="00F32BDE">
      <w:pPr>
        <w:pStyle w:val="a4"/>
        <w:numPr>
          <w:ilvl w:val="0"/>
          <w:numId w:val="31"/>
        </w:numPr>
        <w:spacing w:line="276" w:lineRule="auto"/>
        <w:ind w:left="1701" w:hanging="425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>Практические примеры рассмотрения административных дел по статьям КоАП РФ: 14.55 – нарушение сроков исполнения контрактов, 15.37 – нарушение порядка ведения раздельного учета и представления отчетов о выполнении ГОЗ, 14.49 – нарушение обязательных требований в отношении оборонной продукции, 19.7.2 – непредставление, несвоевременное представление или представление недостоверных сведений по мотивированному требованию контролирующего органа.</w:t>
      </w:r>
    </w:p>
    <w:p w14:paraId="305018D7" w14:textId="77777777" w:rsidR="00F32BDE" w:rsidRPr="001B2568" w:rsidRDefault="00F32BDE" w:rsidP="00F32BDE">
      <w:pPr>
        <w:pStyle w:val="a4"/>
        <w:numPr>
          <w:ilvl w:val="0"/>
          <w:numId w:val="31"/>
        </w:numPr>
        <w:spacing w:line="276" w:lineRule="auto"/>
        <w:ind w:left="1701" w:hanging="425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lastRenderedPageBreak/>
        <w:t>Статус, права и ответственность единственного поставщика. Порядок внесения и исключения из реестра единственных поставщиков российского вооружения и военной техники.</w:t>
      </w:r>
    </w:p>
    <w:p w14:paraId="0BD5BE7C" w14:textId="77777777" w:rsidR="00F32BDE" w:rsidRPr="001B2568" w:rsidRDefault="00F32BDE" w:rsidP="00F32BDE">
      <w:pPr>
        <w:pStyle w:val="a4"/>
        <w:numPr>
          <w:ilvl w:val="0"/>
          <w:numId w:val="31"/>
        </w:numPr>
        <w:spacing w:after="0" w:line="276" w:lineRule="auto"/>
        <w:ind w:left="1701" w:hanging="425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>Практика ФАС России по выявлению нарушений законодательства в сфере ГОЗ, предусмотренных № 275-ФЗ (ч. 3 ст. 8).</w:t>
      </w:r>
    </w:p>
    <w:p w14:paraId="21F94E60" w14:textId="77777777" w:rsidR="00F32BDE" w:rsidRPr="001B2568" w:rsidRDefault="00F32BDE" w:rsidP="00F32BDE">
      <w:pPr>
        <w:pStyle w:val="a4"/>
        <w:numPr>
          <w:ilvl w:val="1"/>
          <w:numId w:val="37"/>
        </w:numPr>
        <w:spacing w:line="276" w:lineRule="auto"/>
        <w:ind w:left="1134" w:hanging="567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1B2568">
        <w:rPr>
          <w:rFonts w:ascii="Times New Roman" w:hAnsi="Times New Roman" w:cs="Times New Roman"/>
          <w:b/>
          <w:bCs/>
          <w:sz w:val="25"/>
          <w:szCs w:val="25"/>
        </w:rPr>
        <w:t>Состав затрат, подлежащих включению в себестоимость продукции, поставляемой по ГОЗ, в соответствии с Приказом Минпромторга России № 334: актуализация и новые требования к обоснованию в 2024 году.</w:t>
      </w:r>
    </w:p>
    <w:p w14:paraId="74407C9B" w14:textId="77777777" w:rsidR="00F32BDE" w:rsidRPr="001B2568" w:rsidRDefault="00F32BDE" w:rsidP="00F32BDE">
      <w:pPr>
        <w:pStyle w:val="a4"/>
        <w:numPr>
          <w:ilvl w:val="0"/>
          <w:numId w:val="32"/>
        </w:numPr>
        <w:spacing w:line="276" w:lineRule="auto"/>
        <w:ind w:left="1701" w:hanging="425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>Обзор изменений, планируемых к внесению (внесенных) в Приказ Минпромторга России № 334.</w:t>
      </w:r>
    </w:p>
    <w:p w14:paraId="68F94E4D" w14:textId="77777777" w:rsidR="00F32BDE" w:rsidRPr="001B2568" w:rsidRDefault="00F32BDE" w:rsidP="00F32BDE">
      <w:pPr>
        <w:pStyle w:val="a4"/>
        <w:numPr>
          <w:ilvl w:val="0"/>
          <w:numId w:val="32"/>
        </w:numPr>
        <w:spacing w:line="276" w:lineRule="auto"/>
        <w:ind w:left="1701" w:hanging="425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>Состав затрат и отдельные вопросы, связанные с проблематикой определения цен.</w:t>
      </w:r>
    </w:p>
    <w:p w14:paraId="3F3DD3E3" w14:textId="77777777" w:rsidR="00F32BDE" w:rsidRPr="001B2568" w:rsidRDefault="00F32BDE" w:rsidP="00F32BDE">
      <w:pPr>
        <w:pStyle w:val="a4"/>
        <w:numPr>
          <w:ilvl w:val="0"/>
          <w:numId w:val="32"/>
        </w:numPr>
        <w:spacing w:line="276" w:lineRule="auto"/>
        <w:ind w:left="1701" w:hanging="425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>Заработная плата: ограничивающие факторы; уровень основной заработной платы основных производственных рабочих сверх норм, установленных региональными показателями (ОКВЭД); корреляция форм 9 и 23 при подтверждении основной заработной платы.</w:t>
      </w:r>
    </w:p>
    <w:p w14:paraId="41F6853B" w14:textId="77777777" w:rsidR="00F32BDE" w:rsidRPr="001B2568" w:rsidRDefault="00F32BDE" w:rsidP="00F32BDE">
      <w:pPr>
        <w:pStyle w:val="a4"/>
        <w:numPr>
          <w:ilvl w:val="0"/>
          <w:numId w:val="32"/>
        </w:numPr>
        <w:spacing w:line="276" w:lineRule="auto"/>
        <w:ind w:left="1701" w:hanging="425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>Накладные расходы и определение доли затрат по ГОЗ для расчета сметы накладных расходов.</w:t>
      </w:r>
    </w:p>
    <w:p w14:paraId="2961F324" w14:textId="77777777" w:rsidR="00F32BDE" w:rsidRPr="001B2568" w:rsidRDefault="00F32BDE" w:rsidP="00F32BDE">
      <w:pPr>
        <w:pStyle w:val="a4"/>
        <w:numPr>
          <w:ilvl w:val="0"/>
          <w:numId w:val="32"/>
        </w:numPr>
        <w:spacing w:line="276" w:lineRule="auto"/>
        <w:ind w:left="1701" w:hanging="425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>Практикум. Совместно с представителем Минпромторга России, экспертами и слушателями мероприятия будут установлены правила включения в состав затрат основной и дополнительной заработной плат, а также начисления, выплачиваемые за счет средств бюджета и прибыли.</w:t>
      </w:r>
    </w:p>
    <w:p w14:paraId="2DB9633A" w14:textId="77777777" w:rsidR="00F32BDE" w:rsidRPr="001B2568" w:rsidRDefault="00F32BDE" w:rsidP="00F32BDE">
      <w:pPr>
        <w:pStyle w:val="a4"/>
        <w:numPr>
          <w:ilvl w:val="0"/>
          <w:numId w:val="32"/>
        </w:numPr>
        <w:spacing w:line="276" w:lineRule="auto"/>
        <w:ind w:left="1701" w:hanging="425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>Учет обоснованных экономических показателей и нормативов (далее – ОЭПиН) при осуществлении процедуры определения цен до заключения контрактов по ГОЗ, при переводе ориентировочной (уточняемой) цены в фиксированную, при подтверждении фактических затрат за отчетный период.</w:t>
      </w:r>
    </w:p>
    <w:p w14:paraId="3C2075EC" w14:textId="77777777" w:rsidR="00F32BDE" w:rsidRPr="001B2568" w:rsidRDefault="00F32BDE" w:rsidP="00F32BDE">
      <w:pPr>
        <w:pStyle w:val="a4"/>
        <w:numPr>
          <w:ilvl w:val="0"/>
          <w:numId w:val="32"/>
        </w:numPr>
        <w:spacing w:after="0" w:line="276" w:lineRule="auto"/>
        <w:ind w:left="1701" w:hanging="425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>Критерии обоснованности и экономической оправданности основных экономических нормативов, применяемых на предприятии, в том числе типовые нарушения, выявляемые ФАС России и Минобороны России в ходе проведения контрольных мероприятий.</w:t>
      </w:r>
    </w:p>
    <w:p w14:paraId="4458AE02" w14:textId="77777777" w:rsidR="00F32BDE" w:rsidRPr="001B2568" w:rsidRDefault="00F32BDE" w:rsidP="00F32BDE">
      <w:pPr>
        <w:pStyle w:val="a4"/>
        <w:numPr>
          <w:ilvl w:val="1"/>
          <w:numId w:val="37"/>
        </w:numPr>
        <w:spacing w:line="276" w:lineRule="auto"/>
        <w:ind w:left="1134" w:hanging="567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b/>
          <w:bCs/>
          <w:sz w:val="25"/>
          <w:szCs w:val="25"/>
        </w:rPr>
        <w:t>Подтверждение затрат как одна из ключевых задач ценообразования в рамках ГОЗ: практика формирования комплекта обосновывающих документов (далее – РКМ) и взаимодействия с Государственными заказчиком и ВП Минобороны России.</w:t>
      </w:r>
    </w:p>
    <w:p w14:paraId="19186350" w14:textId="77777777" w:rsidR="00F32BDE" w:rsidRPr="001B2568" w:rsidRDefault="00F32BDE" w:rsidP="00F32BDE">
      <w:pPr>
        <w:pStyle w:val="a4"/>
        <w:numPr>
          <w:ilvl w:val="0"/>
          <w:numId w:val="33"/>
        </w:numPr>
        <w:spacing w:after="0" w:line="276" w:lineRule="auto"/>
        <w:ind w:left="1701" w:hanging="425"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 xml:space="preserve">Этапы формирования РКМ. </w:t>
      </w:r>
    </w:p>
    <w:p w14:paraId="57A6ACB5" w14:textId="77777777" w:rsidR="00F32BDE" w:rsidRPr="001B2568" w:rsidRDefault="00F32BDE" w:rsidP="00F32BDE">
      <w:pPr>
        <w:pStyle w:val="a4"/>
        <w:numPr>
          <w:ilvl w:val="0"/>
          <w:numId w:val="33"/>
        </w:numPr>
        <w:spacing w:line="276" w:lineRule="auto"/>
        <w:ind w:left="1701" w:hanging="425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>Создание доказательной базы для подтверждения затрат по принципу «НЕТ в контракте - НЕТ в затратах».</w:t>
      </w:r>
    </w:p>
    <w:p w14:paraId="303C81E2" w14:textId="77777777" w:rsidR="00F32BDE" w:rsidRPr="001B2568" w:rsidRDefault="00F32BDE" w:rsidP="00F32BDE">
      <w:pPr>
        <w:pStyle w:val="a4"/>
        <w:numPr>
          <w:ilvl w:val="0"/>
          <w:numId w:val="33"/>
        </w:numPr>
        <w:spacing w:line="276" w:lineRule="auto"/>
        <w:ind w:left="1701" w:hanging="425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>Взаимодействие с органами военного управления в части обоснования корректировки затрат.</w:t>
      </w:r>
    </w:p>
    <w:p w14:paraId="1C4F84AF" w14:textId="77777777" w:rsidR="00F32BDE" w:rsidRPr="001B2568" w:rsidRDefault="00F32BDE" w:rsidP="00F32BDE">
      <w:pPr>
        <w:pStyle w:val="a4"/>
        <w:numPr>
          <w:ilvl w:val="0"/>
          <w:numId w:val="33"/>
        </w:numPr>
        <w:spacing w:line="276" w:lineRule="auto"/>
        <w:ind w:left="1701" w:hanging="425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>Работа с особым мнением головного исполнителя и исполнителя. Разбор формы, утвержденной приказом ФАС России от 11.05.2023 г. № 272/23 «Об утверждении формы особого мнения на заключение государственного заказчика о цене на продукцию, поставляемую по ГОЗ».</w:t>
      </w:r>
    </w:p>
    <w:p w14:paraId="31A1EF4A" w14:textId="77777777" w:rsidR="00F32BDE" w:rsidRPr="001B2568" w:rsidRDefault="00F32BDE" w:rsidP="00F32BDE">
      <w:pPr>
        <w:pStyle w:val="a4"/>
        <w:numPr>
          <w:ilvl w:val="0"/>
          <w:numId w:val="33"/>
        </w:numPr>
        <w:spacing w:line="276" w:lineRule="auto"/>
        <w:ind w:left="1701" w:hanging="425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lastRenderedPageBreak/>
        <w:t>Финансирование контракта в рамках ГОЗ. Работа с ОБС. Рассмотрение затрат отдельно от финансирования. Что можно купить за счет ресурсов контракта в рамках ГОЗ.</w:t>
      </w:r>
    </w:p>
    <w:p w14:paraId="2C65A8D3" w14:textId="77777777" w:rsidR="00F32BDE" w:rsidRPr="001B2568" w:rsidRDefault="00F32BDE" w:rsidP="00F32BDE">
      <w:pPr>
        <w:pStyle w:val="a4"/>
        <w:numPr>
          <w:ilvl w:val="0"/>
          <w:numId w:val="33"/>
        </w:numPr>
        <w:spacing w:line="276" w:lineRule="auto"/>
        <w:ind w:left="1701" w:hanging="425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>Исчерпывающий перечень документов, представляемый головными исполнителями и исполнителями в рамках обоснования цены для заключения контракта, а также комплект документов для окончательной оплаты по контракту.</w:t>
      </w:r>
    </w:p>
    <w:p w14:paraId="530A704E" w14:textId="77777777" w:rsidR="00F32BDE" w:rsidRPr="001B2568" w:rsidRDefault="00F32BDE" w:rsidP="00F32BDE">
      <w:pPr>
        <w:pStyle w:val="a4"/>
        <w:numPr>
          <w:ilvl w:val="0"/>
          <w:numId w:val="33"/>
        </w:numPr>
        <w:spacing w:line="276" w:lineRule="auto"/>
        <w:ind w:left="1701" w:hanging="425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>Понятие лимита бюджетных средств и ограничения, связанные с ним. Заключение контракта с разным уровнем цен в одном периоде.</w:t>
      </w:r>
    </w:p>
    <w:p w14:paraId="52834F61" w14:textId="77777777" w:rsidR="00F32BDE" w:rsidRPr="001B2568" w:rsidRDefault="00F32BDE" w:rsidP="00F32BDE">
      <w:pPr>
        <w:pStyle w:val="a4"/>
        <w:numPr>
          <w:ilvl w:val="0"/>
          <w:numId w:val="33"/>
        </w:numPr>
        <w:spacing w:line="276" w:lineRule="auto"/>
        <w:ind w:left="1701" w:hanging="425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>Документы, представляемые в составе обосновывающих цену документов в соответствии с Приказом Минобороны России №329.</w:t>
      </w:r>
    </w:p>
    <w:p w14:paraId="12891D6C" w14:textId="77777777" w:rsidR="00F32BDE" w:rsidRPr="001B2568" w:rsidRDefault="00F32BDE" w:rsidP="00F32BDE">
      <w:pPr>
        <w:pStyle w:val="a4"/>
        <w:numPr>
          <w:ilvl w:val="0"/>
          <w:numId w:val="33"/>
        </w:numPr>
        <w:spacing w:line="276" w:lineRule="auto"/>
        <w:ind w:left="1701" w:hanging="425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>Особенности заполнения форм по определению цены затратным методом Приказа ФАС России № 995/22. Разбор форм: 10, 11, 12, 21, 22, 23.</w:t>
      </w:r>
    </w:p>
    <w:p w14:paraId="313A8244" w14:textId="77777777" w:rsidR="00F32BDE" w:rsidRPr="001B2568" w:rsidRDefault="00F32BDE" w:rsidP="00F32BDE">
      <w:pPr>
        <w:pStyle w:val="a4"/>
        <w:numPr>
          <w:ilvl w:val="0"/>
          <w:numId w:val="33"/>
        </w:numPr>
        <w:spacing w:line="276" w:lineRule="auto"/>
        <w:ind w:left="1701" w:hanging="425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>Особенности перевода ориентировочной цены в фиксированную. Совокупная стоимость единицы труда. Механизм оценки затрат при взаимодействии с органами военного управления.</w:t>
      </w:r>
    </w:p>
    <w:p w14:paraId="2CA42FDD" w14:textId="77777777" w:rsidR="00F32BDE" w:rsidRPr="001B2568" w:rsidRDefault="00F32BDE" w:rsidP="00F32BDE">
      <w:pPr>
        <w:pStyle w:val="a4"/>
        <w:numPr>
          <w:ilvl w:val="0"/>
          <w:numId w:val="33"/>
        </w:numPr>
        <w:spacing w:line="276" w:lineRule="auto"/>
        <w:ind w:left="1701" w:hanging="425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 xml:space="preserve">Условия контракта, оказывающие существенное влияние на экономику цены. </w:t>
      </w:r>
    </w:p>
    <w:p w14:paraId="31CCFDDD" w14:textId="77777777" w:rsidR="00F32BDE" w:rsidRPr="001B2568" w:rsidRDefault="00F32BDE" w:rsidP="00F32BDE">
      <w:pPr>
        <w:pStyle w:val="a4"/>
        <w:numPr>
          <w:ilvl w:val="0"/>
          <w:numId w:val="33"/>
        </w:numPr>
        <w:spacing w:line="276" w:lineRule="auto"/>
        <w:ind w:left="1701" w:hanging="425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>Особенности применения индексов цен и индексов-дефляторов в соответствии с приказом Минэкономразвития России от 01.04.2020 г. № 190.</w:t>
      </w:r>
    </w:p>
    <w:p w14:paraId="2033D331" w14:textId="77777777" w:rsidR="00F32BDE" w:rsidRPr="001B2568" w:rsidRDefault="00F32BDE" w:rsidP="00F32BDE">
      <w:pPr>
        <w:pStyle w:val="a4"/>
        <w:spacing w:line="276" w:lineRule="auto"/>
        <w:ind w:left="1701"/>
        <w:jc w:val="both"/>
        <w:rPr>
          <w:rFonts w:ascii="Times New Roman" w:hAnsi="Times New Roman" w:cs="Times New Roman"/>
          <w:sz w:val="25"/>
          <w:szCs w:val="25"/>
        </w:rPr>
      </w:pPr>
    </w:p>
    <w:p w14:paraId="7F39B259" w14:textId="77777777" w:rsidR="00F32BDE" w:rsidRPr="001B2568" w:rsidRDefault="00F32BDE" w:rsidP="00F32BDE">
      <w:pPr>
        <w:pStyle w:val="a4"/>
        <w:numPr>
          <w:ilvl w:val="1"/>
          <w:numId w:val="37"/>
        </w:numPr>
        <w:spacing w:line="276" w:lineRule="auto"/>
        <w:ind w:left="1134" w:hanging="567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1B2568">
        <w:rPr>
          <w:rFonts w:ascii="Times New Roman" w:hAnsi="Times New Roman" w:cs="Times New Roman"/>
          <w:b/>
          <w:bCs/>
          <w:sz w:val="25"/>
          <w:szCs w:val="25"/>
        </w:rPr>
        <w:t>Технологическое, экономическое и документальное обоснование затрат. Рекомендации по формированию цен на основе исходных данных (локально-нормативная база), построению системы аналитики данных для подтверждения цен по ГОЗ и ведения раздельного учета затрат.</w:t>
      </w:r>
    </w:p>
    <w:p w14:paraId="637BFF55" w14:textId="77777777" w:rsidR="00F32BDE" w:rsidRPr="001B2568" w:rsidRDefault="00F32BDE" w:rsidP="00F32BDE">
      <w:pPr>
        <w:pStyle w:val="a4"/>
        <w:numPr>
          <w:ilvl w:val="0"/>
          <w:numId w:val="34"/>
        </w:numPr>
        <w:spacing w:after="0" w:line="276" w:lineRule="auto"/>
        <w:ind w:left="1701" w:hanging="425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>Экономическое обоснование затрат, включаемых в цену продукции, поставляемой по ГОЗ. Отдельные требования для производства продукции, НИОКР, сервиса, ремонта и утилизации. Практический опыт согласования цен. Первичные документы, необходимые для подтверждения цен.</w:t>
      </w:r>
    </w:p>
    <w:p w14:paraId="26FF5B96" w14:textId="77777777" w:rsidR="00F32BDE" w:rsidRPr="001B2568" w:rsidRDefault="00F32BDE" w:rsidP="00F32BDE">
      <w:pPr>
        <w:pStyle w:val="a4"/>
        <w:numPr>
          <w:ilvl w:val="0"/>
          <w:numId w:val="34"/>
        </w:numPr>
        <w:spacing w:after="0" w:line="276" w:lineRule="auto"/>
        <w:ind w:left="1701" w:hanging="425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>Взаимодействие целевых параметров контракта с РКМ. План, согласованный заказчиком, по целевым параметрам контракта при сдаче отчета. Параметры по статьям затрат как основа аналитики.</w:t>
      </w:r>
    </w:p>
    <w:p w14:paraId="2D695F10" w14:textId="77777777" w:rsidR="00F32BDE" w:rsidRPr="001B2568" w:rsidRDefault="00F32BDE" w:rsidP="00F32BDE">
      <w:pPr>
        <w:pStyle w:val="a4"/>
        <w:numPr>
          <w:ilvl w:val="0"/>
          <w:numId w:val="34"/>
        </w:numPr>
        <w:spacing w:after="0" w:line="276" w:lineRule="auto"/>
        <w:ind w:left="1701" w:hanging="425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>Примеры положений, приказов, локальных актов, необходимых предприятиям ОПК, для учета затрат в ГОЗ. Основные этапы формирования Положения о ведении раздельного учета, регистры и выгрузки для подтверждения затрат.</w:t>
      </w:r>
    </w:p>
    <w:p w14:paraId="3E70ACEC" w14:textId="77777777" w:rsidR="00F32BDE" w:rsidRPr="001B2568" w:rsidRDefault="00F32BDE" w:rsidP="00F32BDE">
      <w:pPr>
        <w:pStyle w:val="a4"/>
        <w:numPr>
          <w:ilvl w:val="0"/>
          <w:numId w:val="34"/>
        </w:numPr>
        <w:spacing w:after="0" w:line="276" w:lineRule="auto"/>
        <w:ind w:left="1701" w:hanging="425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>Основные отличия бухгалтерского учета от раздельного учета и учета затрат в рамках РКМ. Перечень первичных документов для целей раздельного учета.</w:t>
      </w:r>
    </w:p>
    <w:p w14:paraId="03A6B7D9" w14:textId="77777777" w:rsidR="00F32BDE" w:rsidRPr="001B2568" w:rsidRDefault="00F32BDE" w:rsidP="00F32BDE">
      <w:pPr>
        <w:pStyle w:val="a4"/>
        <w:numPr>
          <w:ilvl w:val="0"/>
          <w:numId w:val="34"/>
        </w:numPr>
        <w:spacing w:after="0" w:line="276" w:lineRule="auto"/>
        <w:ind w:left="1701" w:hanging="425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>Основные принципы раздельного учета и отчетности в рамках ГОЗ.</w:t>
      </w:r>
    </w:p>
    <w:p w14:paraId="2DE7B8B4" w14:textId="77777777" w:rsidR="00F32BDE" w:rsidRPr="001B2568" w:rsidRDefault="00F32BDE" w:rsidP="00F32BDE">
      <w:pPr>
        <w:pStyle w:val="a4"/>
        <w:numPr>
          <w:ilvl w:val="0"/>
          <w:numId w:val="34"/>
        </w:numPr>
        <w:spacing w:after="0" w:line="276" w:lineRule="auto"/>
        <w:ind w:left="1701" w:hanging="425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>Подтверждение материальных затрат. Шаблоны документов и приказов с целью подтверждения принадлежности затрат к производству.</w:t>
      </w:r>
    </w:p>
    <w:p w14:paraId="2DA5A610" w14:textId="77777777" w:rsidR="00F32BDE" w:rsidRPr="001B2568" w:rsidRDefault="00F32BDE" w:rsidP="00F32BDE">
      <w:pPr>
        <w:pStyle w:val="a4"/>
        <w:numPr>
          <w:ilvl w:val="0"/>
          <w:numId w:val="34"/>
        </w:numPr>
        <w:spacing w:after="0" w:line="276" w:lineRule="auto"/>
        <w:ind w:left="1701" w:hanging="425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>Заработная плата. Ведомость учета рабочего времени. Начисление заработной платы на заказ.</w:t>
      </w:r>
    </w:p>
    <w:p w14:paraId="46E07107" w14:textId="77777777" w:rsidR="00F32BDE" w:rsidRPr="001B2568" w:rsidRDefault="00F32BDE" w:rsidP="00F32BDE">
      <w:pPr>
        <w:pStyle w:val="a4"/>
        <w:numPr>
          <w:ilvl w:val="0"/>
          <w:numId w:val="34"/>
        </w:numPr>
        <w:spacing w:after="0" w:line="276" w:lineRule="auto"/>
        <w:ind w:left="1701" w:hanging="425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>Трудоемкость и переработки: отчетность, необходимая для подтверждения затрат организации.</w:t>
      </w:r>
    </w:p>
    <w:p w14:paraId="2B5D02BE" w14:textId="77777777" w:rsidR="00F32BDE" w:rsidRPr="001B2568" w:rsidRDefault="00F32BDE" w:rsidP="00F32BDE">
      <w:pPr>
        <w:pStyle w:val="a4"/>
        <w:numPr>
          <w:ilvl w:val="0"/>
          <w:numId w:val="34"/>
        </w:numPr>
        <w:spacing w:after="0" w:line="276" w:lineRule="auto"/>
        <w:ind w:left="1701" w:hanging="425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lastRenderedPageBreak/>
        <w:t>Планирование и подтверждение сметы накладных расходов. Расчет доли ГОЗ и гражданских контрактов. Ежемесячный расчет сметы.</w:t>
      </w:r>
    </w:p>
    <w:p w14:paraId="2A3F0DC3" w14:textId="77777777" w:rsidR="00F32BDE" w:rsidRPr="001B2568" w:rsidRDefault="00F32BDE" w:rsidP="00F32BDE">
      <w:pPr>
        <w:pStyle w:val="a4"/>
        <w:numPr>
          <w:ilvl w:val="0"/>
          <w:numId w:val="34"/>
        </w:numPr>
        <w:spacing w:after="0" w:line="276" w:lineRule="auto"/>
        <w:ind w:left="1701" w:hanging="425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>Внесение изменений в учетную политику организации. Необходимая адаптация для ГОЗ.</w:t>
      </w:r>
    </w:p>
    <w:p w14:paraId="4FFFCA68" w14:textId="77777777" w:rsidR="00F32BDE" w:rsidRPr="001B2568" w:rsidRDefault="00F32BDE" w:rsidP="00F32BDE">
      <w:pPr>
        <w:pStyle w:val="a4"/>
        <w:numPr>
          <w:ilvl w:val="0"/>
          <w:numId w:val="34"/>
        </w:numPr>
        <w:spacing w:after="0" w:line="276" w:lineRule="auto"/>
        <w:ind w:left="1701" w:hanging="425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>Процессы и первичные бухгалтерские документы, необходимые для сдачи отчетности. Отсутствие первичных документов, подтверждающих затраты, как основной признак нарушения законодательства в ГОЗ.</w:t>
      </w:r>
    </w:p>
    <w:p w14:paraId="2304C615" w14:textId="77777777" w:rsidR="00F32BDE" w:rsidRPr="001B2568" w:rsidRDefault="00F32BDE" w:rsidP="00F32BDE">
      <w:pPr>
        <w:pStyle w:val="a4"/>
        <w:numPr>
          <w:ilvl w:val="0"/>
          <w:numId w:val="34"/>
        </w:numPr>
        <w:spacing w:after="0" w:line="276" w:lineRule="auto"/>
        <w:ind w:left="1701" w:hanging="425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>Совместная работа производственных и финансово-экономических структур предприятия для организации процессов подтверждения фактических затрат.</w:t>
      </w:r>
    </w:p>
    <w:p w14:paraId="092FE65A" w14:textId="77777777" w:rsidR="00F32BDE" w:rsidRPr="001B2568" w:rsidRDefault="00F32BDE" w:rsidP="00F32BDE">
      <w:pPr>
        <w:pStyle w:val="a4"/>
        <w:numPr>
          <w:ilvl w:val="1"/>
          <w:numId w:val="37"/>
        </w:numPr>
        <w:spacing w:line="276" w:lineRule="auto"/>
        <w:ind w:left="1134" w:hanging="567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b/>
          <w:bCs/>
          <w:sz w:val="25"/>
          <w:szCs w:val="25"/>
        </w:rPr>
        <w:t xml:space="preserve">Управление рисками (система комплаенс-контроля) при заключении и исполнении контрактов по ГОЗ. </w:t>
      </w:r>
    </w:p>
    <w:p w14:paraId="0DA4D28E" w14:textId="77777777" w:rsidR="00F32BDE" w:rsidRPr="001B2568" w:rsidRDefault="00F32BDE" w:rsidP="00F32BDE">
      <w:pPr>
        <w:pStyle w:val="a4"/>
        <w:numPr>
          <w:ilvl w:val="0"/>
          <w:numId w:val="38"/>
        </w:numPr>
        <w:spacing w:after="0" w:line="276" w:lineRule="auto"/>
        <w:ind w:left="1701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>Система управления рисками и действующие механизмы контроля со стороны государства за нецелевым использованием денежных средств, получением сверхприбыли и включением затрат, не связанных с производством.</w:t>
      </w:r>
    </w:p>
    <w:p w14:paraId="072E4C7C" w14:textId="77777777" w:rsidR="00F32BDE" w:rsidRPr="001B2568" w:rsidRDefault="00F32BDE" w:rsidP="00F32BDE">
      <w:pPr>
        <w:pStyle w:val="a4"/>
        <w:numPr>
          <w:ilvl w:val="0"/>
          <w:numId w:val="38"/>
        </w:numPr>
        <w:spacing w:after="0" w:line="276" w:lineRule="auto"/>
        <w:ind w:left="1701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>Оценка рисков, связанных с неисполнением обязательств по контрактам и требований законодательства.</w:t>
      </w:r>
    </w:p>
    <w:p w14:paraId="1638DBAF" w14:textId="77777777" w:rsidR="00F32BDE" w:rsidRPr="001B2568" w:rsidRDefault="00F32BDE" w:rsidP="00F32BDE">
      <w:pPr>
        <w:pStyle w:val="a4"/>
        <w:numPr>
          <w:ilvl w:val="0"/>
          <w:numId w:val="38"/>
        </w:numPr>
        <w:spacing w:after="0" w:line="276" w:lineRule="auto"/>
        <w:ind w:left="1701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>Снижение рисков через выстраивание эффективной системы взаимодействия подразделений, документооборота, аналитики данных.</w:t>
      </w:r>
    </w:p>
    <w:p w14:paraId="1E50899D" w14:textId="77777777" w:rsidR="00F32BDE" w:rsidRPr="001B2568" w:rsidRDefault="00F32BDE" w:rsidP="00F32BDE">
      <w:pPr>
        <w:pStyle w:val="a4"/>
        <w:numPr>
          <w:ilvl w:val="0"/>
          <w:numId w:val="38"/>
        </w:numPr>
        <w:spacing w:after="0" w:line="276" w:lineRule="auto"/>
        <w:ind w:left="1701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 xml:space="preserve">Практика ведения переговоров на всех этапах реализации ГОЗ. </w:t>
      </w:r>
    </w:p>
    <w:p w14:paraId="12BC18FD" w14:textId="77777777" w:rsidR="00F32BDE" w:rsidRPr="001B2568" w:rsidRDefault="00F32BDE" w:rsidP="00F32BDE">
      <w:pPr>
        <w:pStyle w:val="a4"/>
        <w:numPr>
          <w:ilvl w:val="0"/>
          <w:numId w:val="38"/>
        </w:numPr>
        <w:spacing w:after="0" w:line="276" w:lineRule="auto"/>
        <w:ind w:left="1701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sz w:val="25"/>
          <w:szCs w:val="25"/>
        </w:rPr>
        <w:t>Система комплаенс-контроля организации ОПК: лучшие практики, ключевые проблемы и их решения.</w:t>
      </w:r>
    </w:p>
    <w:p w14:paraId="55176A4A" w14:textId="77777777" w:rsidR="00F32BDE" w:rsidRPr="001B2568" w:rsidRDefault="00F32BDE" w:rsidP="00F32BDE">
      <w:pPr>
        <w:spacing w:after="0" w:line="276" w:lineRule="auto"/>
        <w:jc w:val="both"/>
        <w:rPr>
          <w:rFonts w:ascii="Times New Roman" w:hAnsi="Times New Roman" w:cs="Times New Roman"/>
          <w:noProof/>
          <w:sz w:val="25"/>
          <w:szCs w:val="25"/>
        </w:rPr>
      </w:pPr>
    </w:p>
    <w:tbl>
      <w:tblPr>
        <w:tblStyle w:val="a3"/>
        <w:tblpPr w:leftFromText="180" w:rightFromText="180" w:vertAnchor="text" w:horzAnchor="page" w:tblpX="1135" w:tblpY="1"/>
        <w:tblW w:w="10206" w:type="dxa"/>
        <w:tblLayout w:type="fixed"/>
        <w:tblLook w:val="04A0" w:firstRow="1" w:lastRow="0" w:firstColumn="1" w:lastColumn="0" w:noHBand="0" w:noVBand="1"/>
      </w:tblPr>
      <w:tblGrid>
        <w:gridCol w:w="6521"/>
        <w:gridCol w:w="1842"/>
        <w:gridCol w:w="1843"/>
      </w:tblGrid>
      <w:tr w:rsidR="00F32BDE" w:rsidRPr="00EC632C" w14:paraId="5B6C7147" w14:textId="77777777" w:rsidTr="00924DBC">
        <w:trPr>
          <w:trHeight w:val="311"/>
        </w:trPr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5848D" w14:textId="77777777" w:rsidR="00F32BDE" w:rsidRPr="00EC632C" w:rsidRDefault="00F32BDE" w:rsidP="00924D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14:paraId="31CB161A" w14:textId="77777777" w:rsidR="00F32BDE" w:rsidRPr="00EC632C" w:rsidRDefault="00F32BDE" w:rsidP="00924DBC">
            <w:pPr>
              <w:spacing w:line="276" w:lineRule="auto"/>
              <w:ind w:left="460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C632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УСЛОВИЯ УЧАСТИЯ:**</w:t>
            </w:r>
          </w:p>
          <w:p w14:paraId="571BA71B" w14:textId="77777777" w:rsidR="00F32BDE" w:rsidRPr="00EC632C" w:rsidRDefault="00F32BDE" w:rsidP="00924D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E69178" w14:textId="77777777" w:rsidR="00F32BDE" w:rsidRPr="00EC632C" w:rsidRDefault="00F32BDE" w:rsidP="00924D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14:paraId="5A67A08D" w14:textId="77777777" w:rsidR="00F32BDE" w:rsidRPr="00EC632C" w:rsidRDefault="00F32BDE" w:rsidP="00924D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C632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73A02" w14:textId="77777777" w:rsidR="00F32BDE" w:rsidRPr="00EC632C" w:rsidRDefault="00F32BDE" w:rsidP="00924D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14:paraId="62C93112" w14:textId="77777777" w:rsidR="00F32BDE" w:rsidRPr="00EC632C" w:rsidRDefault="00F32BDE" w:rsidP="00924D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C632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ОНЛАЙН</w:t>
            </w:r>
          </w:p>
        </w:tc>
      </w:tr>
      <w:tr w:rsidR="00F32BDE" w:rsidRPr="00EC632C" w14:paraId="12CBAC9A" w14:textId="77777777" w:rsidTr="00924DBC">
        <w:tc>
          <w:tcPr>
            <w:tcW w:w="6521" w:type="dxa"/>
          </w:tcPr>
          <w:p w14:paraId="6A42A6A7" w14:textId="77777777" w:rsidR="00F32BDE" w:rsidRPr="00EC632C" w:rsidRDefault="00F32BDE" w:rsidP="00924D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C632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Часть 1. Подготовительная </w:t>
            </w:r>
            <w:r w:rsidRPr="00EC632C">
              <w:rPr>
                <w:rFonts w:ascii="Times New Roman" w:hAnsi="Times New Roman" w:cs="Times New Roman"/>
                <w:sz w:val="25"/>
                <w:szCs w:val="25"/>
              </w:rPr>
              <w:t xml:space="preserve">(17.04.24) </w:t>
            </w:r>
          </w:p>
        </w:tc>
        <w:tc>
          <w:tcPr>
            <w:tcW w:w="1842" w:type="dxa"/>
            <w:vAlign w:val="center"/>
          </w:tcPr>
          <w:p w14:paraId="1A004A28" w14:textId="77777777" w:rsidR="00F32BDE" w:rsidRPr="00EC632C" w:rsidRDefault="00F32BDE" w:rsidP="00924DBC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C632C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843" w:type="dxa"/>
            <w:vAlign w:val="center"/>
          </w:tcPr>
          <w:p w14:paraId="1829B32E" w14:textId="77777777" w:rsidR="00F32BDE" w:rsidRPr="00EC632C" w:rsidRDefault="00F32BDE" w:rsidP="00924DBC">
            <w:pPr>
              <w:spacing w:line="276" w:lineRule="auto"/>
              <w:ind w:left="-3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C632C">
              <w:rPr>
                <w:rFonts w:ascii="Times New Roman" w:hAnsi="Times New Roman" w:cs="Times New Roman"/>
                <w:sz w:val="25"/>
                <w:szCs w:val="25"/>
              </w:rPr>
              <w:t>19 900 руб.</w:t>
            </w:r>
          </w:p>
        </w:tc>
      </w:tr>
      <w:tr w:rsidR="00F32BDE" w:rsidRPr="00EC632C" w14:paraId="06142BF0" w14:textId="77777777" w:rsidTr="00924DBC">
        <w:tc>
          <w:tcPr>
            <w:tcW w:w="6521" w:type="dxa"/>
          </w:tcPr>
          <w:p w14:paraId="2AA94EF6" w14:textId="77777777" w:rsidR="00F32BDE" w:rsidRPr="00EC632C" w:rsidRDefault="00F32BDE" w:rsidP="00924D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C632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Часть 2. Основная </w:t>
            </w:r>
            <w:r w:rsidRPr="00EC632C">
              <w:rPr>
                <w:rFonts w:ascii="Times New Roman" w:hAnsi="Times New Roman" w:cs="Times New Roman"/>
                <w:sz w:val="25"/>
                <w:szCs w:val="25"/>
              </w:rPr>
              <w:t>(18-19.04.24) + 1 неделя консультаций в чате</w:t>
            </w:r>
          </w:p>
        </w:tc>
        <w:tc>
          <w:tcPr>
            <w:tcW w:w="1842" w:type="dxa"/>
            <w:vAlign w:val="center"/>
          </w:tcPr>
          <w:p w14:paraId="3C4703FE" w14:textId="77777777" w:rsidR="00F32BDE" w:rsidRPr="00EC632C" w:rsidRDefault="00F32BDE" w:rsidP="00924DBC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C632C">
              <w:rPr>
                <w:rFonts w:ascii="Times New Roman" w:hAnsi="Times New Roman" w:cs="Times New Roman"/>
                <w:sz w:val="25"/>
                <w:szCs w:val="25"/>
              </w:rPr>
              <w:t>46 900 руб.</w:t>
            </w:r>
          </w:p>
        </w:tc>
        <w:tc>
          <w:tcPr>
            <w:tcW w:w="1843" w:type="dxa"/>
            <w:vAlign w:val="center"/>
          </w:tcPr>
          <w:p w14:paraId="0B70EBD6" w14:textId="77777777" w:rsidR="00F32BDE" w:rsidRPr="00EC632C" w:rsidRDefault="00F32BDE" w:rsidP="00924DBC">
            <w:pPr>
              <w:spacing w:line="276" w:lineRule="auto"/>
              <w:ind w:left="-3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C632C">
              <w:rPr>
                <w:rFonts w:ascii="Times New Roman" w:hAnsi="Times New Roman" w:cs="Times New Roman"/>
                <w:sz w:val="25"/>
                <w:szCs w:val="25"/>
              </w:rPr>
              <w:t>44 900 руб.</w:t>
            </w:r>
          </w:p>
        </w:tc>
      </w:tr>
      <w:tr w:rsidR="00F32BDE" w:rsidRPr="00EC632C" w14:paraId="7EB9F593" w14:textId="77777777" w:rsidTr="00924DBC">
        <w:tc>
          <w:tcPr>
            <w:tcW w:w="6521" w:type="dxa"/>
          </w:tcPr>
          <w:p w14:paraId="4EE65CB2" w14:textId="77777777" w:rsidR="00F32BDE" w:rsidRPr="00EC632C" w:rsidRDefault="00F32BDE" w:rsidP="00924D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C632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Часть 1. Онлайн + Часть 2. Онлайн </w:t>
            </w:r>
            <w:r w:rsidRPr="00EC632C">
              <w:rPr>
                <w:rFonts w:ascii="Times New Roman" w:hAnsi="Times New Roman" w:cs="Times New Roman"/>
                <w:sz w:val="25"/>
                <w:szCs w:val="25"/>
              </w:rPr>
              <w:t>+ 2 недели консультаций в чате</w:t>
            </w:r>
          </w:p>
        </w:tc>
        <w:tc>
          <w:tcPr>
            <w:tcW w:w="3685" w:type="dxa"/>
            <w:gridSpan w:val="2"/>
            <w:vAlign w:val="center"/>
          </w:tcPr>
          <w:p w14:paraId="767EEF94" w14:textId="77777777" w:rsidR="00F32BDE" w:rsidRPr="00EC632C" w:rsidRDefault="00F32BDE" w:rsidP="00924DBC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C632C">
              <w:rPr>
                <w:rFonts w:ascii="Times New Roman" w:hAnsi="Times New Roman" w:cs="Times New Roman"/>
                <w:sz w:val="25"/>
                <w:szCs w:val="25"/>
              </w:rPr>
              <w:t>59 900 руб.</w:t>
            </w:r>
          </w:p>
        </w:tc>
      </w:tr>
      <w:tr w:rsidR="00F32BDE" w:rsidRPr="00EC632C" w14:paraId="05F2AB63" w14:textId="77777777" w:rsidTr="00924DBC">
        <w:tc>
          <w:tcPr>
            <w:tcW w:w="6521" w:type="dxa"/>
          </w:tcPr>
          <w:p w14:paraId="3F0F0F80" w14:textId="77777777" w:rsidR="00F32BDE" w:rsidRPr="00EC632C" w:rsidRDefault="00F32BDE" w:rsidP="00924D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C632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Часть 1. Онлайн + Часть 2. Очно </w:t>
            </w:r>
            <w:r w:rsidRPr="00EC632C">
              <w:rPr>
                <w:rFonts w:ascii="Times New Roman" w:hAnsi="Times New Roman" w:cs="Times New Roman"/>
                <w:sz w:val="25"/>
                <w:szCs w:val="25"/>
              </w:rPr>
              <w:t>+ 2 недели консультаций в чате</w:t>
            </w:r>
          </w:p>
        </w:tc>
        <w:tc>
          <w:tcPr>
            <w:tcW w:w="3685" w:type="dxa"/>
            <w:gridSpan w:val="2"/>
            <w:vAlign w:val="center"/>
          </w:tcPr>
          <w:p w14:paraId="3FD26828" w14:textId="77777777" w:rsidR="00F32BDE" w:rsidRPr="00EC632C" w:rsidRDefault="00F32BDE" w:rsidP="00924DBC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C632C">
              <w:rPr>
                <w:rFonts w:ascii="Times New Roman" w:hAnsi="Times New Roman" w:cs="Times New Roman"/>
                <w:sz w:val="25"/>
                <w:szCs w:val="25"/>
              </w:rPr>
              <w:t>62 900 руб.</w:t>
            </w:r>
          </w:p>
        </w:tc>
      </w:tr>
      <w:tr w:rsidR="00F32BDE" w:rsidRPr="00EC632C" w14:paraId="3F0D7C12" w14:textId="77777777" w:rsidTr="00924DBC">
        <w:tc>
          <w:tcPr>
            <w:tcW w:w="6521" w:type="dxa"/>
          </w:tcPr>
          <w:p w14:paraId="49A5BB2C" w14:textId="77777777" w:rsidR="00F32BDE" w:rsidRPr="00EC632C" w:rsidRDefault="00F32BDE" w:rsidP="00924DB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EC632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С выдачей Удостоверения о повышении квалификации МИМОП ТПП РФ 32 ак.ч. </w:t>
            </w:r>
            <w:r w:rsidRPr="00EC632C">
              <w:rPr>
                <w:rFonts w:ascii="Times New Roman" w:hAnsi="Times New Roman" w:cs="Times New Roman"/>
                <w:sz w:val="25"/>
                <w:szCs w:val="25"/>
              </w:rPr>
              <w:t xml:space="preserve">(Образовательная лицензия № 038045 от 22.11.16 г.). </w:t>
            </w:r>
            <w:r w:rsidRPr="00EC632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Только для участников всех дней сессии. Требуется прохождение аттестации. С другими скидками не суммируется</w:t>
            </w:r>
          </w:p>
        </w:tc>
        <w:tc>
          <w:tcPr>
            <w:tcW w:w="3685" w:type="dxa"/>
            <w:gridSpan w:val="2"/>
            <w:vAlign w:val="center"/>
          </w:tcPr>
          <w:p w14:paraId="760A6863" w14:textId="77777777" w:rsidR="00F32BDE" w:rsidRPr="00EC632C" w:rsidRDefault="00F32BDE" w:rsidP="00924DBC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0853A344" w14:textId="6340EE1A" w:rsidR="00F32BDE" w:rsidRPr="00EC632C" w:rsidRDefault="00F32BDE" w:rsidP="00924DBC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C632C">
              <w:rPr>
                <w:rFonts w:ascii="Times New Roman" w:hAnsi="Times New Roman" w:cs="Times New Roman"/>
                <w:sz w:val="25"/>
                <w:szCs w:val="25"/>
              </w:rPr>
              <w:t xml:space="preserve">+ </w:t>
            </w:r>
            <w:r w:rsidR="00A406B6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bookmarkStart w:id="3" w:name="_GoBack"/>
            <w:bookmarkEnd w:id="3"/>
            <w:r w:rsidRPr="00EC632C">
              <w:rPr>
                <w:rFonts w:ascii="Times New Roman" w:hAnsi="Times New Roman" w:cs="Times New Roman"/>
                <w:sz w:val="25"/>
                <w:szCs w:val="25"/>
              </w:rPr>
              <w:t> 000 руб.</w:t>
            </w:r>
          </w:p>
          <w:p w14:paraId="0BAB2094" w14:textId="77777777" w:rsidR="00F32BDE" w:rsidRPr="00EC632C" w:rsidRDefault="00F32BDE" w:rsidP="00924DBC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32BDE" w:rsidRPr="00EC632C" w14:paraId="28F193D2" w14:textId="77777777" w:rsidTr="00924DBC">
        <w:tc>
          <w:tcPr>
            <w:tcW w:w="6521" w:type="dxa"/>
          </w:tcPr>
          <w:p w14:paraId="035DA21F" w14:textId="77777777" w:rsidR="00F32BDE" w:rsidRPr="00EC632C" w:rsidRDefault="00F32BDE" w:rsidP="00924DBC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C632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Скидка</w:t>
            </w:r>
            <w:r w:rsidRPr="00EC632C">
              <w:rPr>
                <w:rFonts w:ascii="Times New Roman" w:hAnsi="Times New Roman" w:cs="Times New Roman"/>
                <w:sz w:val="25"/>
                <w:szCs w:val="25"/>
              </w:rPr>
              <w:t xml:space="preserve"> (2 и более слушателей)</w:t>
            </w:r>
          </w:p>
        </w:tc>
        <w:tc>
          <w:tcPr>
            <w:tcW w:w="3685" w:type="dxa"/>
            <w:gridSpan w:val="2"/>
            <w:vAlign w:val="center"/>
          </w:tcPr>
          <w:p w14:paraId="3A214219" w14:textId="77777777" w:rsidR="00F32BDE" w:rsidRPr="00EC632C" w:rsidRDefault="00F32BDE" w:rsidP="00924DBC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C632C">
              <w:rPr>
                <w:rFonts w:ascii="Times New Roman" w:hAnsi="Times New Roman" w:cs="Times New Roman"/>
                <w:sz w:val="25"/>
                <w:szCs w:val="25"/>
              </w:rPr>
              <w:t>10%</w:t>
            </w:r>
          </w:p>
        </w:tc>
      </w:tr>
      <w:tr w:rsidR="00F32BDE" w:rsidRPr="00EC632C" w14:paraId="1C5F2327" w14:textId="77777777" w:rsidTr="00924DBC">
        <w:tc>
          <w:tcPr>
            <w:tcW w:w="6521" w:type="dxa"/>
          </w:tcPr>
          <w:p w14:paraId="02B44DCD" w14:textId="1BAF3283" w:rsidR="00F32BDE" w:rsidRPr="00EC632C" w:rsidRDefault="00F32BDE" w:rsidP="00924D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C632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Скидка для участников отраслевых сессий по ГОЗ в 2023-2024</w:t>
            </w:r>
            <w:r w:rsidR="007A525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r w:rsidRPr="00EC632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гг. </w:t>
            </w:r>
            <w:r w:rsidRPr="00EC632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С другими скидками не суммируется</w:t>
            </w:r>
          </w:p>
        </w:tc>
        <w:tc>
          <w:tcPr>
            <w:tcW w:w="3685" w:type="dxa"/>
            <w:gridSpan w:val="2"/>
            <w:vAlign w:val="center"/>
          </w:tcPr>
          <w:p w14:paraId="5A196C5D" w14:textId="77777777" w:rsidR="00F32BDE" w:rsidRPr="00EC632C" w:rsidRDefault="00F32BDE" w:rsidP="00924DBC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C632C">
              <w:rPr>
                <w:rFonts w:ascii="Times New Roman" w:hAnsi="Times New Roman" w:cs="Times New Roman"/>
                <w:sz w:val="25"/>
                <w:szCs w:val="25"/>
              </w:rPr>
              <w:t>20%</w:t>
            </w:r>
          </w:p>
        </w:tc>
      </w:tr>
    </w:tbl>
    <w:p w14:paraId="08D440D9" w14:textId="77777777" w:rsidR="00F32BDE" w:rsidRPr="001B2568" w:rsidRDefault="00F32BDE" w:rsidP="00F32BDE">
      <w:pPr>
        <w:spacing w:after="0" w:line="276" w:lineRule="auto"/>
        <w:ind w:firstLine="567"/>
        <w:jc w:val="both"/>
        <w:rPr>
          <w:rFonts w:ascii="Times New Roman" w:hAnsi="Times New Roman" w:cs="Times New Roman"/>
          <w:noProof/>
          <w:sz w:val="25"/>
          <w:szCs w:val="25"/>
        </w:rPr>
      </w:pPr>
    </w:p>
    <w:p w14:paraId="51C888B7" w14:textId="77777777" w:rsidR="00F32BDE" w:rsidRPr="001B2568" w:rsidRDefault="00F32BDE" w:rsidP="00F32BDE">
      <w:pPr>
        <w:pStyle w:val="a4"/>
        <w:spacing w:line="276" w:lineRule="auto"/>
        <w:ind w:left="567"/>
        <w:jc w:val="both"/>
        <w:rPr>
          <w:rFonts w:ascii="Times New Roman" w:hAnsi="Times New Roman" w:cs="Times New Roman"/>
          <w:sz w:val="25"/>
          <w:szCs w:val="25"/>
        </w:rPr>
      </w:pPr>
      <w:r w:rsidRPr="001B2568">
        <w:rPr>
          <w:rFonts w:ascii="Times New Roman" w:hAnsi="Times New Roman" w:cs="Times New Roman"/>
          <w:b/>
          <w:bCs/>
          <w:sz w:val="25"/>
          <w:szCs w:val="25"/>
        </w:rPr>
        <w:lastRenderedPageBreak/>
        <w:t>По итогам мероприятия будут предоставлены</w:t>
      </w:r>
      <w:r w:rsidRPr="001B2568">
        <w:rPr>
          <w:rFonts w:ascii="Times New Roman" w:hAnsi="Times New Roman" w:cs="Times New Roman"/>
          <w:sz w:val="25"/>
          <w:szCs w:val="25"/>
        </w:rPr>
        <w:t xml:space="preserve"> презентационные и методические материалы по теме, Сборник ответов на наиболее часто встречаемые вопросы по теме (автор Н.А. Ермолаев), а также </w:t>
      </w:r>
      <w:r w:rsidRPr="001B256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именной сертификат об участии в мероприятии</w:t>
      </w:r>
      <w:r w:rsidRPr="001B2568">
        <w:rPr>
          <w:rFonts w:ascii="Times New Roman" w:hAnsi="Times New Roman" w:cs="Times New Roman"/>
          <w:sz w:val="25"/>
          <w:szCs w:val="25"/>
        </w:rPr>
        <w:t xml:space="preserve">. Для очного участия включены дополнительно раздаточные материалы и питание. </w:t>
      </w:r>
      <w:r w:rsidRPr="001B2568">
        <w:rPr>
          <w:rFonts w:ascii="Times New Roman" w:hAnsi="Times New Roman" w:cs="Times New Roman"/>
          <w:b/>
          <w:bCs/>
          <w:sz w:val="25"/>
          <w:szCs w:val="25"/>
        </w:rPr>
        <w:t>Возможна</w:t>
      </w:r>
      <w:r w:rsidRPr="001B2568">
        <w:rPr>
          <w:rFonts w:ascii="Times New Roman" w:hAnsi="Times New Roman" w:cs="Times New Roman"/>
          <w:sz w:val="25"/>
          <w:szCs w:val="25"/>
        </w:rPr>
        <w:t xml:space="preserve"> </w:t>
      </w:r>
      <w:r w:rsidRPr="001B2568">
        <w:rPr>
          <w:rFonts w:ascii="Times New Roman" w:hAnsi="Times New Roman" w:cs="Times New Roman"/>
          <w:b/>
          <w:bCs/>
          <w:sz w:val="25"/>
          <w:szCs w:val="25"/>
        </w:rPr>
        <w:t>пост-оплата</w:t>
      </w:r>
      <w:r w:rsidRPr="001B2568">
        <w:rPr>
          <w:rFonts w:ascii="Times New Roman" w:hAnsi="Times New Roman" w:cs="Times New Roman"/>
          <w:sz w:val="25"/>
          <w:szCs w:val="25"/>
        </w:rPr>
        <w:t xml:space="preserve"> в течение</w:t>
      </w:r>
      <w:r w:rsidRPr="001B2568">
        <w:rPr>
          <w:rFonts w:ascii="Times New Roman" w:hAnsi="Times New Roman" w:cs="Times New Roman"/>
          <w:b/>
          <w:bCs/>
          <w:sz w:val="25"/>
          <w:szCs w:val="25"/>
        </w:rPr>
        <w:t xml:space="preserve"> 30 календарных дней</w:t>
      </w:r>
      <w:r w:rsidRPr="001B2568">
        <w:rPr>
          <w:rFonts w:ascii="Times New Roman" w:hAnsi="Times New Roman" w:cs="Times New Roman"/>
          <w:sz w:val="25"/>
          <w:szCs w:val="25"/>
        </w:rPr>
        <w:t>. Гарантийное письмо не требуется.</w:t>
      </w:r>
    </w:p>
    <w:p w14:paraId="268B0DD7" w14:textId="77777777" w:rsidR="007A525D" w:rsidRDefault="007A525D" w:rsidP="00321BD5">
      <w:pPr>
        <w:ind w:right="-1"/>
        <w:jc w:val="both"/>
        <w:rPr>
          <w:rFonts w:ascii="Times New Roman" w:hAnsi="Times New Roman" w:cs="Times New Roman"/>
          <w:b/>
          <w:bCs/>
        </w:rPr>
      </w:pPr>
    </w:p>
    <w:p w14:paraId="25A0D80F" w14:textId="2B318A15" w:rsidR="0066660C" w:rsidRPr="0066660C" w:rsidRDefault="00364D0F" w:rsidP="00321BD5">
      <w:pPr>
        <w:ind w:right="-1"/>
        <w:jc w:val="both"/>
        <w:rPr>
          <w:rStyle w:val="ab"/>
          <w:rFonts w:ascii="Times New Roman" w:hAnsi="Times New Roman" w:cs="Times New Roman"/>
          <w:noProof/>
          <w:color w:val="auto"/>
          <w:u w:val="none"/>
        </w:rPr>
      </w:pPr>
      <w:r w:rsidRPr="00364D0F">
        <w:rPr>
          <w:rFonts w:ascii="Times New Roman" w:hAnsi="Times New Roman" w:cs="Times New Roman"/>
          <w:b/>
          <w:bCs/>
        </w:rPr>
        <w:t>РЕГИСТРАЦИЯ:</w:t>
      </w:r>
      <w:r w:rsidRPr="00364D0F">
        <w:rPr>
          <w:rFonts w:ascii="Times New Roman" w:hAnsi="Times New Roman" w:cs="Times New Roman"/>
        </w:rPr>
        <w:t xml:space="preserve"> </w:t>
      </w:r>
      <w:r w:rsidR="00321BD5" w:rsidRPr="00321BD5">
        <w:rPr>
          <w:rFonts w:ascii="Times New Roman" w:hAnsi="Times New Roman" w:cs="Times New Roman"/>
        </w:rPr>
        <w:t xml:space="preserve">+7 (495) 134-34-71, </w:t>
      </w:r>
      <w:hyperlink r:id="rId8" w:history="1">
        <w:r w:rsidR="00321BD5" w:rsidRPr="00CD768A">
          <w:rPr>
            <w:rStyle w:val="ab"/>
            <w:rFonts w:ascii="Times New Roman" w:hAnsi="Times New Roman" w:cs="Times New Roman"/>
          </w:rPr>
          <w:t>evst@iimba.ru</w:t>
        </w:r>
      </w:hyperlink>
      <w:r w:rsidR="00321BD5">
        <w:rPr>
          <w:rFonts w:ascii="Times New Roman" w:hAnsi="Times New Roman" w:cs="Times New Roman"/>
        </w:rPr>
        <w:t>, Евстигнеева Ирина</w:t>
      </w:r>
    </w:p>
    <w:sectPr w:rsidR="0066660C" w:rsidRPr="0066660C" w:rsidSect="00D426C9">
      <w:pgSz w:w="11906" w:h="16838"/>
      <w:pgMar w:top="1134" w:right="567" w:bottom="1134" w:left="1134" w:header="709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E8B3F" w14:textId="77777777" w:rsidR="00BB70E0" w:rsidRDefault="00BB70E0" w:rsidP="0024139C">
      <w:pPr>
        <w:spacing w:after="0" w:line="240" w:lineRule="auto"/>
      </w:pPr>
      <w:r>
        <w:separator/>
      </w:r>
    </w:p>
  </w:endnote>
  <w:endnote w:type="continuationSeparator" w:id="0">
    <w:p w14:paraId="5EE8B353" w14:textId="77777777" w:rsidR="00BB70E0" w:rsidRDefault="00BB70E0" w:rsidP="0024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5E375" w14:textId="77777777" w:rsidR="00BB70E0" w:rsidRDefault="00BB70E0" w:rsidP="0024139C">
      <w:pPr>
        <w:spacing w:after="0" w:line="240" w:lineRule="auto"/>
      </w:pPr>
      <w:r>
        <w:separator/>
      </w:r>
    </w:p>
  </w:footnote>
  <w:footnote w:type="continuationSeparator" w:id="0">
    <w:p w14:paraId="11B22546" w14:textId="77777777" w:rsidR="00BB70E0" w:rsidRDefault="00BB70E0" w:rsidP="00241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227E"/>
    <w:multiLevelType w:val="hybridMultilevel"/>
    <w:tmpl w:val="F7A2C28E"/>
    <w:lvl w:ilvl="0" w:tplc="15001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04EC"/>
    <w:multiLevelType w:val="hybridMultilevel"/>
    <w:tmpl w:val="0B9490DE"/>
    <w:lvl w:ilvl="0" w:tplc="15001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7E20"/>
    <w:multiLevelType w:val="multilevel"/>
    <w:tmpl w:val="22740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E785167"/>
    <w:multiLevelType w:val="hybridMultilevel"/>
    <w:tmpl w:val="3DA2C0EC"/>
    <w:lvl w:ilvl="0" w:tplc="15001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70B03"/>
    <w:multiLevelType w:val="hybridMultilevel"/>
    <w:tmpl w:val="2102B862"/>
    <w:lvl w:ilvl="0" w:tplc="150012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C96504"/>
    <w:multiLevelType w:val="hybridMultilevel"/>
    <w:tmpl w:val="C7F6E0C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86663"/>
    <w:multiLevelType w:val="hybridMultilevel"/>
    <w:tmpl w:val="3E84C30C"/>
    <w:lvl w:ilvl="0" w:tplc="150012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75A023B"/>
    <w:multiLevelType w:val="hybridMultilevel"/>
    <w:tmpl w:val="6CEC21CE"/>
    <w:lvl w:ilvl="0" w:tplc="15001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E7B9B"/>
    <w:multiLevelType w:val="hybridMultilevel"/>
    <w:tmpl w:val="6C66F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41EF8"/>
    <w:multiLevelType w:val="hybridMultilevel"/>
    <w:tmpl w:val="89A87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22F43"/>
    <w:multiLevelType w:val="hybridMultilevel"/>
    <w:tmpl w:val="BB0C4BAE"/>
    <w:lvl w:ilvl="0" w:tplc="15001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0215E"/>
    <w:multiLevelType w:val="multilevel"/>
    <w:tmpl w:val="7BC80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8E87C1C"/>
    <w:multiLevelType w:val="hybridMultilevel"/>
    <w:tmpl w:val="00B0DBBE"/>
    <w:lvl w:ilvl="0" w:tplc="150012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040329"/>
    <w:multiLevelType w:val="hybridMultilevel"/>
    <w:tmpl w:val="F1665522"/>
    <w:lvl w:ilvl="0" w:tplc="150012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A963F42"/>
    <w:multiLevelType w:val="hybridMultilevel"/>
    <w:tmpl w:val="14EAD03E"/>
    <w:lvl w:ilvl="0" w:tplc="15001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F7251"/>
    <w:multiLevelType w:val="multilevel"/>
    <w:tmpl w:val="971440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D85D76"/>
    <w:multiLevelType w:val="multilevel"/>
    <w:tmpl w:val="A36E5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C8495F"/>
    <w:multiLevelType w:val="hybridMultilevel"/>
    <w:tmpl w:val="F8708998"/>
    <w:lvl w:ilvl="0" w:tplc="15001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42B63"/>
    <w:multiLevelType w:val="hybridMultilevel"/>
    <w:tmpl w:val="00D447F4"/>
    <w:lvl w:ilvl="0" w:tplc="DA241F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E1718BB"/>
    <w:multiLevelType w:val="hybridMultilevel"/>
    <w:tmpl w:val="DA521CC2"/>
    <w:lvl w:ilvl="0" w:tplc="1500123E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20" w15:restartNumberingAfterBreak="0">
    <w:nsid w:val="4FCE5AED"/>
    <w:multiLevelType w:val="hybridMultilevel"/>
    <w:tmpl w:val="FB76890C"/>
    <w:lvl w:ilvl="0" w:tplc="150012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1B42826"/>
    <w:multiLevelType w:val="hybridMultilevel"/>
    <w:tmpl w:val="F8BE4956"/>
    <w:lvl w:ilvl="0" w:tplc="15001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01566"/>
    <w:multiLevelType w:val="multilevel"/>
    <w:tmpl w:val="3BA210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23" w15:restartNumberingAfterBreak="0">
    <w:nsid w:val="572E55BC"/>
    <w:multiLevelType w:val="hybridMultilevel"/>
    <w:tmpl w:val="86A284F4"/>
    <w:lvl w:ilvl="0" w:tplc="15001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F6CCC"/>
    <w:multiLevelType w:val="multilevel"/>
    <w:tmpl w:val="564C08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5" w15:restartNumberingAfterBreak="0">
    <w:nsid w:val="5C420A6A"/>
    <w:multiLevelType w:val="multilevel"/>
    <w:tmpl w:val="553437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DC108F7"/>
    <w:multiLevelType w:val="hybridMultilevel"/>
    <w:tmpl w:val="2B9661F8"/>
    <w:lvl w:ilvl="0" w:tplc="150012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D4009C"/>
    <w:multiLevelType w:val="hybridMultilevel"/>
    <w:tmpl w:val="C2F4C1B4"/>
    <w:lvl w:ilvl="0" w:tplc="15001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24647"/>
    <w:multiLevelType w:val="hybridMultilevel"/>
    <w:tmpl w:val="A3CE9564"/>
    <w:lvl w:ilvl="0" w:tplc="15001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83914"/>
    <w:multiLevelType w:val="hybridMultilevel"/>
    <w:tmpl w:val="02FCE1D6"/>
    <w:lvl w:ilvl="0" w:tplc="150012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5F36DC0"/>
    <w:multiLevelType w:val="hybridMultilevel"/>
    <w:tmpl w:val="4C92DE78"/>
    <w:lvl w:ilvl="0" w:tplc="15001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F5AC8"/>
    <w:multiLevelType w:val="multilevel"/>
    <w:tmpl w:val="DD94F18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7D34EC1"/>
    <w:multiLevelType w:val="hybridMultilevel"/>
    <w:tmpl w:val="0B0E7ADA"/>
    <w:lvl w:ilvl="0" w:tplc="15001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B521A"/>
    <w:multiLevelType w:val="hybridMultilevel"/>
    <w:tmpl w:val="E2C2B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22B8B"/>
    <w:multiLevelType w:val="hybridMultilevel"/>
    <w:tmpl w:val="553445CE"/>
    <w:lvl w:ilvl="0" w:tplc="15001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90439"/>
    <w:multiLevelType w:val="hybridMultilevel"/>
    <w:tmpl w:val="369C5E6C"/>
    <w:lvl w:ilvl="0" w:tplc="15001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283B33"/>
    <w:multiLevelType w:val="hybridMultilevel"/>
    <w:tmpl w:val="C5528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D71FA"/>
    <w:multiLevelType w:val="hybridMultilevel"/>
    <w:tmpl w:val="B10206BC"/>
    <w:lvl w:ilvl="0" w:tplc="150012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7"/>
  </w:num>
  <w:num w:numId="4">
    <w:abstractNumId w:val="19"/>
  </w:num>
  <w:num w:numId="5">
    <w:abstractNumId w:val="36"/>
  </w:num>
  <w:num w:numId="6">
    <w:abstractNumId w:val="33"/>
  </w:num>
  <w:num w:numId="7">
    <w:abstractNumId w:val="8"/>
  </w:num>
  <w:num w:numId="8">
    <w:abstractNumId w:val="9"/>
  </w:num>
  <w:num w:numId="9">
    <w:abstractNumId w:val="27"/>
  </w:num>
  <w:num w:numId="10">
    <w:abstractNumId w:val="22"/>
  </w:num>
  <w:num w:numId="11">
    <w:abstractNumId w:val="14"/>
  </w:num>
  <w:num w:numId="12">
    <w:abstractNumId w:val="10"/>
  </w:num>
  <w:num w:numId="13">
    <w:abstractNumId w:val="12"/>
  </w:num>
  <w:num w:numId="14">
    <w:abstractNumId w:val="17"/>
  </w:num>
  <w:num w:numId="15">
    <w:abstractNumId w:val="16"/>
  </w:num>
  <w:num w:numId="16">
    <w:abstractNumId w:val="5"/>
  </w:num>
  <w:num w:numId="17">
    <w:abstractNumId w:val="2"/>
  </w:num>
  <w:num w:numId="18">
    <w:abstractNumId w:val="21"/>
  </w:num>
  <w:num w:numId="19">
    <w:abstractNumId w:val="25"/>
  </w:num>
  <w:num w:numId="20">
    <w:abstractNumId w:val="31"/>
  </w:num>
  <w:num w:numId="21">
    <w:abstractNumId w:val="0"/>
  </w:num>
  <w:num w:numId="22">
    <w:abstractNumId w:val="3"/>
  </w:num>
  <w:num w:numId="23">
    <w:abstractNumId w:val="11"/>
  </w:num>
  <w:num w:numId="24">
    <w:abstractNumId w:val="30"/>
  </w:num>
  <w:num w:numId="25">
    <w:abstractNumId w:val="23"/>
  </w:num>
  <w:num w:numId="26">
    <w:abstractNumId w:val="32"/>
  </w:num>
  <w:num w:numId="27">
    <w:abstractNumId w:val="35"/>
  </w:num>
  <w:num w:numId="28">
    <w:abstractNumId w:val="28"/>
  </w:num>
  <w:num w:numId="29">
    <w:abstractNumId w:val="4"/>
  </w:num>
  <w:num w:numId="30">
    <w:abstractNumId w:val="20"/>
  </w:num>
  <w:num w:numId="31">
    <w:abstractNumId w:val="34"/>
  </w:num>
  <w:num w:numId="32">
    <w:abstractNumId w:val="13"/>
  </w:num>
  <w:num w:numId="33">
    <w:abstractNumId w:val="18"/>
  </w:num>
  <w:num w:numId="34">
    <w:abstractNumId w:val="6"/>
  </w:num>
  <w:num w:numId="35">
    <w:abstractNumId w:val="37"/>
  </w:num>
  <w:num w:numId="36">
    <w:abstractNumId w:val="24"/>
  </w:num>
  <w:num w:numId="37">
    <w:abstractNumId w:val="15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08"/>
    <w:rsid w:val="00003C25"/>
    <w:rsid w:val="000045F7"/>
    <w:rsid w:val="00010F8D"/>
    <w:rsid w:val="000301DA"/>
    <w:rsid w:val="00050E5F"/>
    <w:rsid w:val="0008131E"/>
    <w:rsid w:val="00093BAF"/>
    <w:rsid w:val="00093C5F"/>
    <w:rsid w:val="000B25AD"/>
    <w:rsid w:val="000B268A"/>
    <w:rsid w:val="000B5094"/>
    <w:rsid w:val="000C271A"/>
    <w:rsid w:val="000E5524"/>
    <w:rsid w:val="000F07E3"/>
    <w:rsid w:val="000F33AA"/>
    <w:rsid w:val="000F3CCB"/>
    <w:rsid w:val="000F61F7"/>
    <w:rsid w:val="000F79E9"/>
    <w:rsid w:val="001008E4"/>
    <w:rsid w:val="00105085"/>
    <w:rsid w:val="001052E1"/>
    <w:rsid w:val="00131D70"/>
    <w:rsid w:val="00144417"/>
    <w:rsid w:val="00145C9C"/>
    <w:rsid w:val="0015448D"/>
    <w:rsid w:val="001754EA"/>
    <w:rsid w:val="00180851"/>
    <w:rsid w:val="00192369"/>
    <w:rsid w:val="001941DE"/>
    <w:rsid w:val="00196163"/>
    <w:rsid w:val="00216465"/>
    <w:rsid w:val="002172BA"/>
    <w:rsid w:val="002215D5"/>
    <w:rsid w:val="00222EB7"/>
    <w:rsid w:val="0022372A"/>
    <w:rsid w:val="00236D9B"/>
    <w:rsid w:val="0024139C"/>
    <w:rsid w:val="00242320"/>
    <w:rsid w:val="00255E0E"/>
    <w:rsid w:val="00260DE2"/>
    <w:rsid w:val="0026522F"/>
    <w:rsid w:val="00276BAF"/>
    <w:rsid w:val="0028004B"/>
    <w:rsid w:val="002915B1"/>
    <w:rsid w:val="002A6ADB"/>
    <w:rsid w:val="002B1A15"/>
    <w:rsid w:val="002D252D"/>
    <w:rsid w:val="002D42F8"/>
    <w:rsid w:val="002E6524"/>
    <w:rsid w:val="002F6D9E"/>
    <w:rsid w:val="00321BD5"/>
    <w:rsid w:val="00331BAE"/>
    <w:rsid w:val="00352D6E"/>
    <w:rsid w:val="00364D0F"/>
    <w:rsid w:val="00373C66"/>
    <w:rsid w:val="0038646E"/>
    <w:rsid w:val="003874D1"/>
    <w:rsid w:val="00391166"/>
    <w:rsid w:val="0039747B"/>
    <w:rsid w:val="003A46A5"/>
    <w:rsid w:val="003E4D5D"/>
    <w:rsid w:val="003F7B0A"/>
    <w:rsid w:val="00401248"/>
    <w:rsid w:val="0041596E"/>
    <w:rsid w:val="0042359A"/>
    <w:rsid w:val="00431F36"/>
    <w:rsid w:val="0043260D"/>
    <w:rsid w:val="00446590"/>
    <w:rsid w:val="004614B6"/>
    <w:rsid w:val="0047456C"/>
    <w:rsid w:val="0047480A"/>
    <w:rsid w:val="00482BCF"/>
    <w:rsid w:val="00482C1C"/>
    <w:rsid w:val="00483125"/>
    <w:rsid w:val="00483564"/>
    <w:rsid w:val="00485C80"/>
    <w:rsid w:val="00490848"/>
    <w:rsid w:val="00494002"/>
    <w:rsid w:val="004A0379"/>
    <w:rsid w:val="004A31C8"/>
    <w:rsid w:val="004A32AD"/>
    <w:rsid w:val="004A4433"/>
    <w:rsid w:val="004E6EF0"/>
    <w:rsid w:val="004F332A"/>
    <w:rsid w:val="00510793"/>
    <w:rsid w:val="005122E5"/>
    <w:rsid w:val="00517E75"/>
    <w:rsid w:val="00527468"/>
    <w:rsid w:val="00535BF4"/>
    <w:rsid w:val="00547C06"/>
    <w:rsid w:val="00560885"/>
    <w:rsid w:val="0056352C"/>
    <w:rsid w:val="00565CF6"/>
    <w:rsid w:val="00567D40"/>
    <w:rsid w:val="0057166E"/>
    <w:rsid w:val="005777C5"/>
    <w:rsid w:val="005D1A38"/>
    <w:rsid w:val="005E63A9"/>
    <w:rsid w:val="00606FF6"/>
    <w:rsid w:val="00611D67"/>
    <w:rsid w:val="00617907"/>
    <w:rsid w:val="006228F7"/>
    <w:rsid w:val="0062574C"/>
    <w:rsid w:val="00634A26"/>
    <w:rsid w:val="00637F57"/>
    <w:rsid w:val="00642ED4"/>
    <w:rsid w:val="00643081"/>
    <w:rsid w:val="00643749"/>
    <w:rsid w:val="0064571A"/>
    <w:rsid w:val="00650A34"/>
    <w:rsid w:val="00652CDB"/>
    <w:rsid w:val="006555C8"/>
    <w:rsid w:val="00660CF2"/>
    <w:rsid w:val="00664F80"/>
    <w:rsid w:val="00665A54"/>
    <w:rsid w:val="0066660C"/>
    <w:rsid w:val="00693802"/>
    <w:rsid w:val="00693C1D"/>
    <w:rsid w:val="00695E87"/>
    <w:rsid w:val="006A2F16"/>
    <w:rsid w:val="006A7DA2"/>
    <w:rsid w:val="006B2554"/>
    <w:rsid w:val="006C4877"/>
    <w:rsid w:val="006C6C0C"/>
    <w:rsid w:val="006D2A64"/>
    <w:rsid w:val="006D615D"/>
    <w:rsid w:val="006E2221"/>
    <w:rsid w:val="00703122"/>
    <w:rsid w:val="00703DD3"/>
    <w:rsid w:val="007062D5"/>
    <w:rsid w:val="0071286D"/>
    <w:rsid w:val="00726035"/>
    <w:rsid w:val="00732335"/>
    <w:rsid w:val="007342EC"/>
    <w:rsid w:val="00744DCB"/>
    <w:rsid w:val="0074651F"/>
    <w:rsid w:val="00753984"/>
    <w:rsid w:val="00770899"/>
    <w:rsid w:val="007740B0"/>
    <w:rsid w:val="007A1181"/>
    <w:rsid w:val="007A4D1D"/>
    <w:rsid w:val="007A525D"/>
    <w:rsid w:val="007C4D4B"/>
    <w:rsid w:val="007D698C"/>
    <w:rsid w:val="007E28B4"/>
    <w:rsid w:val="007F0AEE"/>
    <w:rsid w:val="007F0F55"/>
    <w:rsid w:val="007F7AF3"/>
    <w:rsid w:val="00802126"/>
    <w:rsid w:val="00813B59"/>
    <w:rsid w:val="00816E3A"/>
    <w:rsid w:val="00824771"/>
    <w:rsid w:val="00831946"/>
    <w:rsid w:val="00841183"/>
    <w:rsid w:val="00870A8C"/>
    <w:rsid w:val="00874846"/>
    <w:rsid w:val="00874BBC"/>
    <w:rsid w:val="0087734A"/>
    <w:rsid w:val="0087758E"/>
    <w:rsid w:val="00886ADA"/>
    <w:rsid w:val="00886B1C"/>
    <w:rsid w:val="008905B1"/>
    <w:rsid w:val="0089630F"/>
    <w:rsid w:val="008A7B22"/>
    <w:rsid w:val="008B3B38"/>
    <w:rsid w:val="008B7C88"/>
    <w:rsid w:val="008C5147"/>
    <w:rsid w:val="008C744E"/>
    <w:rsid w:val="008D168B"/>
    <w:rsid w:val="008D503C"/>
    <w:rsid w:val="008E1F23"/>
    <w:rsid w:val="008F174B"/>
    <w:rsid w:val="008F35C4"/>
    <w:rsid w:val="009043A2"/>
    <w:rsid w:val="00926622"/>
    <w:rsid w:val="00932C4D"/>
    <w:rsid w:val="009401A6"/>
    <w:rsid w:val="00956088"/>
    <w:rsid w:val="00970BEA"/>
    <w:rsid w:val="0098017A"/>
    <w:rsid w:val="009A5BB9"/>
    <w:rsid w:val="009A6491"/>
    <w:rsid w:val="009B5207"/>
    <w:rsid w:val="009C6CBD"/>
    <w:rsid w:val="009E304F"/>
    <w:rsid w:val="009E7413"/>
    <w:rsid w:val="00A024FE"/>
    <w:rsid w:val="00A0555E"/>
    <w:rsid w:val="00A100DF"/>
    <w:rsid w:val="00A10495"/>
    <w:rsid w:val="00A3417F"/>
    <w:rsid w:val="00A350DA"/>
    <w:rsid w:val="00A40639"/>
    <w:rsid w:val="00A406B6"/>
    <w:rsid w:val="00A4095E"/>
    <w:rsid w:val="00A649E2"/>
    <w:rsid w:val="00A8602A"/>
    <w:rsid w:val="00A95932"/>
    <w:rsid w:val="00AA786D"/>
    <w:rsid w:val="00AC41E6"/>
    <w:rsid w:val="00AD5AD6"/>
    <w:rsid w:val="00AF0674"/>
    <w:rsid w:val="00AF7F29"/>
    <w:rsid w:val="00B3227D"/>
    <w:rsid w:val="00B5653F"/>
    <w:rsid w:val="00B660DB"/>
    <w:rsid w:val="00B92EDA"/>
    <w:rsid w:val="00BA18EC"/>
    <w:rsid w:val="00BA245F"/>
    <w:rsid w:val="00BB1F2B"/>
    <w:rsid w:val="00BB205E"/>
    <w:rsid w:val="00BB70E0"/>
    <w:rsid w:val="00BD1892"/>
    <w:rsid w:val="00BD5D00"/>
    <w:rsid w:val="00BE2CF3"/>
    <w:rsid w:val="00BE4721"/>
    <w:rsid w:val="00C00860"/>
    <w:rsid w:val="00C02F06"/>
    <w:rsid w:val="00C066D5"/>
    <w:rsid w:val="00C1090B"/>
    <w:rsid w:val="00C2098F"/>
    <w:rsid w:val="00C27DB9"/>
    <w:rsid w:val="00C40F28"/>
    <w:rsid w:val="00C47B5E"/>
    <w:rsid w:val="00C53547"/>
    <w:rsid w:val="00C54F83"/>
    <w:rsid w:val="00C65F91"/>
    <w:rsid w:val="00C965EB"/>
    <w:rsid w:val="00CA488C"/>
    <w:rsid w:val="00CA611C"/>
    <w:rsid w:val="00CB7D98"/>
    <w:rsid w:val="00CC3B8C"/>
    <w:rsid w:val="00CD0A34"/>
    <w:rsid w:val="00CE33D9"/>
    <w:rsid w:val="00CF19FD"/>
    <w:rsid w:val="00CF2292"/>
    <w:rsid w:val="00CF6895"/>
    <w:rsid w:val="00D032F6"/>
    <w:rsid w:val="00D2495C"/>
    <w:rsid w:val="00D36806"/>
    <w:rsid w:val="00D426C9"/>
    <w:rsid w:val="00D4747C"/>
    <w:rsid w:val="00D508B6"/>
    <w:rsid w:val="00D52A51"/>
    <w:rsid w:val="00D55AD9"/>
    <w:rsid w:val="00D573BF"/>
    <w:rsid w:val="00D7058E"/>
    <w:rsid w:val="00D7607A"/>
    <w:rsid w:val="00D8537D"/>
    <w:rsid w:val="00D874C4"/>
    <w:rsid w:val="00D90CA5"/>
    <w:rsid w:val="00D94B94"/>
    <w:rsid w:val="00DB0EA8"/>
    <w:rsid w:val="00DC202E"/>
    <w:rsid w:val="00DC5A7D"/>
    <w:rsid w:val="00DD18E9"/>
    <w:rsid w:val="00DD1905"/>
    <w:rsid w:val="00DD7461"/>
    <w:rsid w:val="00DE6B84"/>
    <w:rsid w:val="00DF2142"/>
    <w:rsid w:val="00E06457"/>
    <w:rsid w:val="00E12586"/>
    <w:rsid w:val="00E22A5B"/>
    <w:rsid w:val="00E30922"/>
    <w:rsid w:val="00E57B06"/>
    <w:rsid w:val="00E67DF4"/>
    <w:rsid w:val="00E73DE6"/>
    <w:rsid w:val="00E8261B"/>
    <w:rsid w:val="00E868D4"/>
    <w:rsid w:val="00E92518"/>
    <w:rsid w:val="00E9758C"/>
    <w:rsid w:val="00EA1D28"/>
    <w:rsid w:val="00EB1E17"/>
    <w:rsid w:val="00EB26F2"/>
    <w:rsid w:val="00EB6808"/>
    <w:rsid w:val="00ED16BF"/>
    <w:rsid w:val="00EF2EFD"/>
    <w:rsid w:val="00EF7362"/>
    <w:rsid w:val="00F1286A"/>
    <w:rsid w:val="00F32BDE"/>
    <w:rsid w:val="00F34F5E"/>
    <w:rsid w:val="00F40D14"/>
    <w:rsid w:val="00F40D56"/>
    <w:rsid w:val="00F46829"/>
    <w:rsid w:val="00F57653"/>
    <w:rsid w:val="00F64023"/>
    <w:rsid w:val="00F64703"/>
    <w:rsid w:val="00F8325B"/>
    <w:rsid w:val="00F85FB2"/>
    <w:rsid w:val="00F9254D"/>
    <w:rsid w:val="00F97FCC"/>
    <w:rsid w:val="00FB13F1"/>
    <w:rsid w:val="00FC043D"/>
    <w:rsid w:val="00FC3A50"/>
    <w:rsid w:val="00FC794B"/>
    <w:rsid w:val="00FD1A92"/>
    <w:rsid w:val="00FD4567"/>
    <w:rsid w:val="00FE343F"/>
    <w:rsid w:val="00F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F876F4"/>
  <w15:chartTrackingRefBased/>
  <w15:docId w15:val="{F4C01126-F8C5-4707-9BB7-1DD30262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7461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 w:cs="Arial"/>
      <w:b/>
      <w:color w:val="000000"/>
      <w:kern w:val="2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3864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41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139C"/>
  </w:style>
  <w:style w:type="paragraph" w:styleId="a8">
    <w:name w:val="footer"/>
    <w:basedOn w:val="a"/>
    <w:link w:val="a9"/>
    <w:uiPriority w:val="99"/>
    <w:unhideWhenUsed/>
    <w:rsid w:val="00241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139C"/>
  </w:style>
  <w:style w:type="paragraph" w:customStyle="1" w:styleId="ConsPlusTitle">
    <w:name w:val="ConsPlusTitle"/>
    <w:uiPriority w:val="99"/>
    <w:rsid w:val="00A055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A0555E"/>
  </w:style>
  <w:style w:type="character" w:customStyle="1" w:styleId="10">
    <w:name w:val="Заголовок 1 Знак"/>
    <w:basedOn w:val="a0"/>
    <w:link w:val="1"/>
    <w:rsid w:val="00DD7461"/>
    <w:rPr>
      <w:rFonts w:ascii="Arial" w:eastAsia="SimSun" w:hAnsi="Arial" w:cs="Arial"/>
      <w:b/>
      <w:color w:val="000000"/>
      <w:kern w:val="2"/>
      <w:sz w:val="36"/>
      <w:szCs w:val="36"/>
      <w:lang w:eastAsia="ru-RU"/>
    </w:rPr>
  </w:style>
  <w:style w:type="paragraph" w:customStyle="1" w:styleId="ConsPlusNormal">
    <w:name w:val="ConsPlusNormal"/>
    <w:rsid w:val="00DD7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DD7461"/>
    <w:pPr>
      <w:spacing w:after="0" w:line="240" w:lineRule="auto"/>
      <w:ind w:left="1560" w:hanging="1560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DD7461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aa">
    <w:name w:val="Revision"/>
    <w:hidden/>
    <w:uiPriority w:val="99"/>
    <w:semiHidden/>
    <w:rsid w:val="00DD18E9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F57653"/>
    <w:rPr>
      <w:color w:val="0000FF"/>
      <w:u w:val="single"/>
    </w:rPr>
  </w:style>
  <w:style w:type="paragraph" w:customStyle="1" w:styleId="mail-message-1">
    <w:name w:val="mail-message-1"/>
    <w:basedOn w:val="a"/>
    <w:rsid w:val="00F32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0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st@iimb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2839</Words>
  <Characters>16186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Литвиненко</dc:creator>
  <cp:keywords/>
  <dc:description/>
  <cp:lastModifiedBy>mimop403irina@outlook.com</cp:lastModifiedBy>
  <cp:revision>5</cp:revision>
  <dcterms:created xsi:type="dcterms:W3CDTF">2024-03-29T10:35:00Z</dcterms:created>
  <dcterms:modified xsi:type="dcterms:W3CDTF">2024-03-29T11:52:00Z</dcterms:modified>
</cp:coreProperties>
</file>